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AF8F2"/>
  <w:body>
    <w:p>
      <w:pPr>
        <w:pStyle w:val="Title"/>
      </w:pPr>
      <w:r>
        <w:t>Materiales notariales: nuevos precios anunciados desde el 19 de octubre</w:t>
      </w:r>
    </w:p>
    <w:p>
      <w:r>
        <w:t>Notarial / Civil · Acto institucional</w:t>
      </w:r>
    </w:p>
    <w:p>
      <w:r>
        <w:t>Avisos: 12, 14, 16 y 17/10/2026; aplicación anunciada: 19/10, 00:01.</w:t>
      </w:r>
    </w:p>
    <w:p>
      <w:r>
        <w:rPr>
          <w:b/>
          <w:color w:val="876523"/>
        </w:rPr>
        <w:t xml:space="preserve">Qué cambió. </w:t>
      </w:r>
      <w:r>
        <w:t>Ingresos Judiciales comunicó nuevos costos: protocolo y sellado con o sin raya, G. 2.100 por hoja; actuación, certificación de firmas y legalización, G. 3.900; libro de firmas, G. 70.000. Las hojas se venden en cuadernillos de diez. La normalización del sistema fue anunciada para el 19 de octubre a las 00:01.</w:t>
      </w:r>
    </w:p>
    <w:p>
      <w:r>
        <w:rPr>
          <w:b/>
          <w:color w:val="876523"/>
        </w:rPr>
        <w:t xml:space="preserve">A quién afecta. </w:t>
      </w:r>
      <w:r>
        <w:t>Escribanos, notarios y equipos que presupuestan actuaciones notariales.</w:t>
      </w:r>
    </w:p>
    <w:p>
      <w:r>
        <w:rPr>
          <w:b/>
          <w:color w:val="876523"/>
        </w:rPr>
        <w:t xml:space="preserve">Acción recomendada. </w:t>
      </w:r>
      <w:r>
        <w:t>Antes de pagar, cotejar los valores que muestre el portal y confirmar disponibilidad. Los cortes del 16 y 18 de octubre ya transcurrieron; no sirven para nuevas operaciones.</w:t>
      </w:r>
    </w:p>
    <w:p>
      <w:r>
        <w:rPr>
          <w:b/>
          <w:color w:val="876523"/>
        </w:rPr>
        <w:t xml:space="preserve">Control. </w:t>
      </w:r>
      <w:r>
        <w:t>Acto institucional al corte del 18/10. No se verificó la reapertura efectiva ni el texto íntegro de las resoluciones S2 381 y CSJ 13.221. El aviso del 16 fecha esta última el 1/10/2026. Liquidación/pago y solicitudes tienen cortes diferentes, sin contradicción.</w:t>
      </w:r>
    </w:p>
    <w:p>
      <w:pPr>
        <w:spacing w:after="60"/>
      </w:pPr>
      <w:hyperlink r:id="rId11">
        <w:r>
          <w:rPr>
            <w:color w:val="12314B"/>
          </w:rPr>
          <w:t>Fuente oficial 1</w:t>
        </w:r>
      </w:hyperlink>
    </w:p>
    <w:p>
      <w:pPr>
        <w:spacing w:after="60"/>
      </w:pPr>
      <w:hyperlink r:id="rId12">
        <w:r>
          <w:rPr>
            <w:color w:val="12314B"/>
          </w:rPr>
          <w:t>Fuente oficial 2</w:t>
        </w:r>
      </w:hyperlink>
    </w:p>
    <w:p>
      <w:pPr>
        <w:spacing w:after="60"/>
      </w:pPr>
      <w:hyperlink r:id="rId13">
        <w:r>
          <w:rPr>
            <w:color w:val="12314B"/>
          </w:rPr>
          <w:t>Fuente oficial 3</w:t>
        </w:r>
      </w:hyperlink>
    </w:p>
    <w:p>
      <w:pPr>
        <w:pStyle w:val="Heading2"/>
      </w:pPr>
      <w:r>
        <w:t>Resumen ejecutivo</w:t>
      </w:r>
    </w:p>
    <w:p>
      <w:r>
        <w:t>Ocho notas de la última semana cerrada. Práctica judicial, instituciones y radar legislativo en una misma edición. Dos notas requieren cotejo documental adicional. Publicación aprobada por Mario el 19/10/2026; se conservan las reservas jurídicas indicadas.</w:t>
      </w:r>
    </w:p>
    <w:p>
      <w:pPr>
        <w:sectPr>
          <w:headerReference w:type="default" r:id="rId9"/>
          <w:footerReference w:type="default" r:id="rId10"/>
          <w:pgSz w:w="11909" w:h="16834"/>
          <w:pgMar w:top="2232" w:right="691" w:bottom="864" w:left="691" w:header="346" w:footer="720" w:gutter="0"/>
          <w:cols w:space="720"/>
          <w:docGrid w:linePitch="360"/>
        </w:sectPr>
      </w:pPr>
    </w:p>
    <w:p>
      <w:r>
        <w:t>Laboral / Penal / Procesal · Acto institucional</w:t>
      </w:r>
    </w:p>
    <w:p>
      <w:pPr>
        <w:pStyle w:val="Heading1"/>
      </w:pPr>
      <w:r>
        <w:t>Limpio incorpora la cobertura electrónica de gastos</w:t>
      </w:r>
    </w:p>
    <w:p>
      <w:r>
        <w:t>Implementación: 12–16/10/2026; comunicación: 16/10.</w:t>
      </w:r>
    </w:p>
    <w:p>
      <w:r>
        <w:rPr>
          <w:b/>
          <w:color w:val="876523"/>
        </w:rPr>
        <w:t xml:space="preserve">Qué cambió. </w:t>
      </w:r>
      <w:r>
        <w:t>La CSJ informó la implementación en el Juzgado de Primera Instancia Laboral, Secretaría 1, y el Juzgado Penal de Garantías, Secretarías 1 y 2, de Limpio. Comunicó pagos habilitados en bancos y bocas autorizadas.</w:t>
      </w:r>
    </w:p>
    <w:p>
      <w:r>
        <w:rPr>
          <w:b/>
          <w:color w:val="876523"/>
        </w:rPr>
        <w:t xml:space="preserve">A quién afecta. </w:t>
      </w:r>
      <w:r>
        <w:t>Litigantes y profesionales que solicitan diligencias en esos despachos.</w:t>
      </w:r>
    </w:p>
    <w:p>
      <w:r>
        <w:rPr>
          <w:b/>
          <w:color w:val="876523"/>
        </w:rPr>
        <w:t xml:space="preserve">Acción recomendada. </w:t>
      </w:r>
      <w:r>
        <w:t>Solicitar la cobertura en la secretaría antes de la diligencia y comprobar la excepción legal que pudiera corresponder al caso.</w:t>
      </w:r>
    </w:p>
    <w:p>
      <w:r>
        <w:rPr>
          <w:b/>
          <w:color w:val="876523"/>
        </w:rPr>
        <w:t xml:space="preserve">Control. </w:t>
      </w:r>
      <w:r>
        <w:t>Se informa una implementación local, no una nueva tasa nacional. No se generaliza a otros juzgados ni se reproducen importes o exenciones. Funcionamiento informado por la CSJ; no se realizó una transacción de prueba.</w:t>
      </w:r>
    </w:p>
    <w:p>
      <w:pPr>
        <w:spacing w:after="60"/>
      </w:pPr>
      <w:hyperlink r:id="rId14">
        <w:r>
          <w:rPr>
            <w:color w:val="12314B"/>
          </w:rPr>
          <w:t>Fuente oficial 1</w:t>
        </w:r>
      </w:hyperlink>
    </w:p>
    <w:p>
      <w:pPr>
        <w:spacing w:after="60"/>
      </w:pPr>
      <w:hyperlink r:id="rId15">
        <w:r>
          <w:rPr>
            <w:color w:val="12314B"/>
          </w:rPr>
          <w:t>Fuente oficial 2</w:t>
        </w:r>
      </w:hyperlink>
    </w:p>
    <w:p>
      <w:pPr>
        <w:spacing w:after="60"/>
      </w:pPr>
      <w:hyperlink r:id="rId16">
        <w:r>
          <w:rPr>
            <w:color w:val="12314B"/>
          </w:rPr>
          <w:t>Fuente oficial 3</w:t>
        </w:r>
      </w:hyperlink>
    </w:p>
    <w:p>
      <w:r>
        <w:br w:type="column"/>
      </w:r>
    </w:p>
    <w:p>
      <w:r>
        <w:t>Civil / Constitucional / Procesal · Acto institucional</w:t>
      </w:r>
    </w:p>
    <w:p>
      <w:pPr>
        <w:pStyle w:val="Heading1"/>
      </w:pPr>
      <w:r>
        <w:t>Naturalización: la Sala firma la primera providencia digital</w:t>
      </w:r>
    </w:p>
    <w:p>
      <w:r>
        <w:t>Habilitación: 12/10/2026; primera providencia informada: 13/10.</w:t>
      </w:r>
    </w:p>
    <w:p>
      <w:r>
        <w:rPr>
          <w:b/>
          <w:color w:val="876523"/>
        </w:rPr>
        <w:t xml:space="preserve">Qué cambió. </w:t>
      </w:r>
      <w:r>
        <w:t>La Sala Civil y Comercial informó la primera providencia digital el 13 de octubre, después de habilitar el módulo el día 12. Los nuevos procesos se gestionan electrónicamente; los iniciados en papel concluyen en papel.</w:t>
      </w:r>
    </w:p>
    <w:p>
      <w:r>
        <w:rPr>
          <w:b/>
          <w:color w:val="876523"/>
        </w:rPr>
        <w:t xml:space="preserve">A quién afecta. </w:t>
      </w:r>
      <w:r>
        <w:t>Abogados patrocinantes y solicitantes de cartas de naturalización.</w:t>
      </w:r>
    </w:p>
    <w:p>
      <w:r>
        <w:rPr>
          <w:b/>
          <w:color w:val="876523"/>
        </w:rPr>
        <w:t xml:space="preserve">Acción recomendada. </w:t>
      </w:r>
      <w:r>
        <w:t>Preparar archivos PDF o JPG y coordinar las comparecencias: el abogado debe acudir a la Sala para autenticación y el solicitante para suscribir la declaración jurada.</w:t>
      </w:r>
    </w:p>
    <w:p>
      <w:r>
        <w:rPr>
          <w:b/>
          <w:color w:val="876523"/>
        </w:rPr>
        <w:t xml:space="preserve">Control. </w:t>
      </w:r>
      <w:r>
        <w:t>La operación cuenta con un primer acto informado oficialmente. La expresión “íntegramente electrónica” no elimina los pasos presenciales que la misma Sala exige. La Acordada 1335/19 se menciona como antecedente, sin atribuirle aquí una reforma.</w:t>
      </w:r>
    </w:p>
    <w:p>
      <w:pPr>
        <w:spacing w:after="60"/>
      </w:pPr>
      <w:hyperlink r:id="rId17">
        <w:r>
          <w:rPr>
            <w:color w:val="12314B"/>
          </w:rPr>
          <w:t>Fuente oficial 1</w:t>
        </w:r>
      </w:hyperlink>
    </w:p>
    <w:p>
      <w:pPr>
        <w:spacing w:after="60"/>
      </w:pPr>
      <w:hyperlink r:id="rId18">
        <w:r>
          <w:rPr>
            <w:color w:val="12314B"/>
          </w:rPr>
          <w:t>Fuente oficial 2</w:t>
        </w:r>
      </w:hyperlink>
    </w:p>
    <w:p>
      <w:r>
        <w:br w:type="column"/>
      </w:r>
    </w:p>
    <w:p>
      <w:r>
        <w:t>Familia / Niñez · Acto institucional</w:t>
      </w:r>
    </w:p>
    <w:p>
      <w:pPr>
        <w:pStyle w:val="Heading1"/>
      </w:pPr>
      <w:r>
        <w:t>Caacupé: interinato anunciado desde el 1 de noviembre</w:t>
      </w:r>
    </w:p>
    <w:p>
      <w:r>
        <w:t>Decisión de plenaria: 13/10/2026; efecto anunciado: 1/11.</w:t>
      </w:r>
    </w:p>
    <w:p>
      <w:r>
        <w:rPr>
          <w:b/>
          <w:color w:val="876523"/>
        </w:rPr>
        <w:t xml:space="preserve">Qué cambió. </w:t>
      </w:r>
      <w:r>
        <w:t>La CSJ dispuso que el juez Víctor José Yahari Cousirat, del Segundo Turno de Niñez y Adolescencia de Caacupé, interine también el Primer Turno desde el 1 de noviembre, hasta nueva disposición.</w:t>
      </w:r>
    </w:p>
    <w:p>
      <w:r>
        <w:rPr>
          <w:b/>
          <w:color w:val="876523"/>
        </w:rPr>
        <w:t xml:space="preserve">A quién afecta. </w:t>
      </w:r>
      <w:r>
        <w:t>Profesionales con causas de niñez en el Primer Turno de Caacupé.</w:t>
      </w:r>
    </w:p>
    <w:p>
      <w:r>
        <w:rPr>
          <w:b/>
          <w:color w:val="876523"/>
        </w:rPr>
        <w:t xml:space="preserve">Acción recomendada. </w:t>
      </w:r>
      <w:r>
        <w:t>Verificar la integración del despacho y eventuales instrucciones de atención al aproximarse noviembre; conservar los plazos de cada causa.</w:t>
      </w:r>
    </w:p>
    <w:p>
      <w:r>
        <w:rPr>
          <w:b/>
          <w:color w:val="876523"/>
        </w:rPr>
        <w:t xml:space="preserve">Control. </w:t>
      </w:r>
      <w:r>
        <w:t>Es una designación futura, sin cambio de sede o suspensión de plazos acreditados en el aviso.</w:t>
      </w:r>
    </w:p>
    <w:p>
      <w:pPr>
        <w:spacing w:after="60"/>
      </w:pPr>
      <w:hyperlink r:id="rId19">
        <w:r>
          <w:rPr>
            <w:color w:val="12314B"/>
          </w:rPr>
          <w:t>Fuente oficial 1</w:t>
        </w:r>
      </w:hyperlink>
    </w:p>
    <w:p>
      <w:pPr>
        <w:sectPr>
          <w:pgSz w:w="11909" w:h="16834"/>
          <w:pgMar w:top="2232" w:right="691" w:bottom="864" w:left="691" w:header="346" w:footer="720" w:gutter="0"/>
          <w:cols w:space="260" w:num="3" w:sep="1"/>
          <w:docGrid w:linePitch="360"/>
        </w:sectPr>
      </w:pPr>
    </w:p>
    <w:p>
      <w:r>
        <w:t>Comercial / Registral · Acto institucional</w:t>
      </w:r>
    </w:p>
    <w:p>
      <w:pPr>
        <w:pStyle w:val="Heading1"/>
      </w:pPr>
      <w:r>
        <w:t>RUN: diciembre es el plazo para presentar el rediseño interno</w:t>
      </w:r>
    </w:p>
    <w:p>
      <w:r>
        <w:t>Decisión de plenaria: 13/10/2026.</w:t>
      </w:r>
    </w:p>
    <w:p>
      <w:r>
        <w:rPr>
          <w:b/>
          <w:color w:val="876523"/>
        </w:rPr>
        <w:t xml:space="preserve">Qué cambió. </w:t>
      </w:r>
      <w:r>
        <w:t>La CSJ extendió hasta diciembre de 2026 la presentación del rediseño de procedimientos registrales del artículo 113 del Reglamento Técnico Catastro Registral, Acordada 1823/2025.</w:t>
      </w:r>
    </w:p>
    <w:p>
      <w:r>
        <w:rPr>
          <w:b/>
          <w:color w:val="876523"/>
        </w:rPr>
        <w:t xml:space="preserve">A quién afecta. </w:t>
      </w:r>
      <w:r>
        <w:t>Equipos de seguimiento registral y asesores de operaciones inmobiliarias.</w:t>
      </w:r>
    </w:p>
    <w:p>
      <w:r>
        <w:rPr>
          <w:b/>
          <w:color w:val="876523"/>
        </w:rPr>
        <w:t xml:space="preserve">Acción recomendada. </w:t>
      </w:r>
      <w:r>
        <w:t>Mantener los plazos particulares de cada trámite. El encargo interno no acredita que el procedimiento unificado ya funcione.</w:t>
      </w:r>
    </w:p>
    <w:p>
      <w:r>
        <w:rPr>
          <w:b/>
          <w:color w:val="876523"/>
        </w:rPr>
        <w:t xml:space="preserve">Control. </w:t>
      </w:r>
      <w:r>
        <w:t>No es una prórroga general para usuarios. El aviso no precisa día de diciembre; no se convierte en un vencimiento el 31.</w:t>
      </w:r>
    </w:p>
    <w:p>
      <w:pPr>
        <w:spacing w:after="60"/>
      </w:pPr>
      <w:hyperlink r:id="rId19">
        <w:r>
          <w:rPr>
            <w:color w:val="12314B"/>
          </w:rPr>
          <w:t>Fuente oficial 1</w:t>
        </w:r>
      </w:hyperlink>
    </w:p>
    <w:p>
      <w:r>
        <w:br w:type="column"/>
      </w:r>
    </w:p>
    <w:p>
      <w:r>
        <w:t>Constitucional / Electoral · Acto institucional</w:t>
      </w:r>
    </w:p>
    <w:p>
      <w:pPr>
        <w:pStyle w:val="Heading1"/>
      </w:pPr>
      <w:r>
        <w:t>Elección de abogados: el traslado se contesta hasta el 19</w:t>
      </w:r>
    </w:p>
    <w:p>
      <w:r>
        <w:t>Comunicación: 16/10/2026; ventana: 18–19/10, 08:00–14:00.</w:t>
      </w:r>
    </w:p>
    <w:p>
      <w:r>
        <w:rPr>
          <w:b/>
          <w:color w:val="876523"/>
        </w:rPr>
        <w:t xml:space="preserve">Qué cambió. </w:t>
      </w:r>
      <w:r>
        <w:t>El TSJE informó que el traslado de las impugnaciones de candidaturas para el Consejo de la Magistratura se contesta entre el domingo 18 y el lunes 19 de octubre, de 08:00 a 14:00, en su Secretaría Judicial.</w:t>
      </w:r>
    </w:p>
    <w:p>
      <w:r>
        <w:rPr>
          <w:b/>
          <w:color w:val="876523"/>
        </w:rPr>
        <w:t xml:space="preserve">A quién afecta. </w:t>
      </w:r>
      <w:r>
        <w:t>Candidaturas y apoderados alcanzados por una impugnación.</w:t>
      </w:r>
    </w:p>
    <w:p>
      <w:r>
        <w:rPr>
          <w:b/>
          <w:color w:val="876523"/>
        </w:rPr>
        <w:t xml:space="preserve">Acción recomendada. </w:t>
      </w:r>
      <w:r>
        <w:t>Comprobar la notificación y el expediente concreto; presentar la contestación ante la Secretaría Judicial dentro de la ventana indicada por el cronograma.</w:t>
      </w:r>
    </w:p>
    <w:p>
      <w:r>
        <w:rPr>
          <w:b/>
          <w:color w:val="876523"/>
        </w:rPr>
        <w:t xml:space="preserve">Control. </w:t>
      </w:r>
      <w:r>
        <w:t>Se cotejó la Res. TSJE 196/2026: actividad 7 (pág. 3) fija domingo 18 y lunes 19, 08:00–14:00; el artículo 3 (pág. 7) habilita la Secretaría en esos días y horarios. No se presume traslado por día inhábil. Verificar la notificación y cualquier decisión posterior en el expediente concreto.</w:t>
      </w:r>
    </w:p>
    <w:p>
      <w:pPr>
        <w:spacing w:after="60"/>
      </w:pPr>
      <w:hyperlink r:id="rId20">
        <w:r>
          <w:rPr>
            <w:color w:val="12314B"/>
          </w:rPr>
          <w:t>Fuente oficial 1</w:t>
        </w:r>
      </w:hyperlink>
    </w:p>
    <w:p>
      <w:pPr>
        <w:spacing w:after="60"/>
      </w:pPr>
      <w:hyperlink r:id="rId21">
        <w:r>
          <w:rPr>
            <w:color w:val="12314B"/>
          </w:rPr>
          <w:t>Fuente oficial 2</w:t>
        </w:r>
      </w:hyperlink>
    </w:p>
    <w:p>
      <w:pPr>
        <w:spacing w:after="60"/>
      </w:pPr>
      <w:hyperlink r:id="rId22">
        <w:r>
          <w:rPr>
            <w:color w:val="12314B"/>
          </w:rPr>
          <w:t>Fuente oficial 3</w:t>
        </w:r>
      </w:hyperlink>
    </w:p>
    <w:p>
      <w:r>
        <w:br w:type="column"/>
      </w:r>
    </w:p>
    <w:p>
      <w:r>
        <w:t>Tributario · Acto institucional</w:t>
      </w:r>
    </w:p>
    <w:p>
      <w:pPr>
        <w:pStyle w:val="Heading1"/>
      </w:pPr>
      <w:r>
        <w:t>DNIT presenta resultados de regularización; no anuncia un nuevo plazo</w:t>
      </w:r>
    </w:p>
    <w:p>
      <w:r>
        <w:t>Publicación: 16/10/2026; datos hasta el 31/8/2026.</w:t>
      </w:r>
    </w:p>
    <w:p>
      <w:r>
        <w:rPr>
          <w:b/>
          <w:color w:val="876523"/>
        </w:rPr>
        <w:t xml:space="preserve">Qué cambió. </w:t>
      </w:r>
      <w:r>
        <w:t>La DNIT comunicó más de G. 149.265 millones regularizados bajo el Decreto 5154/2025. El reporte comprende desde fines de diciembre de 2025 hasta agosto de 2026; el 52% del monto corresponde a deudas en instancia judicial.</w:t>
      </w:r>
    </w:p>
    <w:p>
      <w:r>
        <w:rPr>
          <w:b/>
          <w:color w:val="876523"/>
        </w:rPr>
        <w:t xml:space="preserve">A quién afecta. </w:t>
      </w:r>
      <w:r>
        <w:t>Contadores, asesores tributarios y equipos de cobro o cumplimiento.</w:t>
      </w:r>
    </w:p>
    <w:p>
      <w:r>
        <w:rPr>
          <w:b/>
          <w:color w:val="876523"/>
        </w:rPr>
        <w:t xml:space="preserve">Acción recomendada. </w:t>
      </w:r>
      <w:r>
        <w:t>Contrastar el estado de cada deuda y las condiciones aplicables antes de recomendar una facilidad. El informe estadístico no basta para confirmar beneficios disponibles hoy.</w:t>
      </w:r>
    </w:p>
    <w:p>
      <w:r>
        <w:rPr>
          <w:b/>
          <w:color w:val="876523"/>
        </w:rPr>
        <w:t xml:space="preserve">Control. </w:t>
      </w:r>
      <w:r>
        <w:t>La novedad es la publicación del balance el 16/10, no la creación de un régimen. No se afirma prórroga, condonación automática ni plazo de adhesión abierto. El decreto íntegro y sus modificaciones deben cotejarse para asesorar un caso.</w:t>
      </w:r>
    </w:p>
    <w:p>
      <w:pPr>
        <w:spacing w:after="60"/>
      </w:pPr>
      <w:hyperlink r:id="rId23">
        <w:r>
          <w:rPr>
            <w:color w:val="12314B"/>
          </w:rPr>
          <w:t>Fuente oficial 1</w:t>
        </w:r>
      </w:hyperlink>
    </w:p>
    <w:p>
      <w:pPr>
        <w:sectPr>
          <w:pgSz w:w="11909" w:h="16834"/>
          <w:pgMar w:top="2232" w:right="691" w:bottom="864" w:left="691" w:header="346" w:footer="720" w:gutter="0"/>
          <w:cols w:space="260" w:num="3" w:sep="1"/>
          <w:docGrid w:linePitch="360"/>
        </w:sectPr>
      </w:pPr>
    </w:p>
    <w:p>
      <w:r>
        <w:t>Penal / Ambiental · Proyecto en trámite</w:t>
      </w:r>
    </w:p>
    <w:p>
      <w:pPr>
        <w:pStyle w:val="Heading1"/>
      </w:pPr>
      <w:r>
        <w:t>Maltrato animal: la reforma penal continúa en comisión</w:t>
      </w:r>
    </w:p>
    <w:p>
      <w:r>
        <w:t>Sesión y noticia del Senado: 13/10/2026.</w:t>
      </w:r>
    </w:p>
    <w:p>
      <w:r>
        <w:rPr>
          <w:b/>
          <w:color w:val="876523"/>
        </w:rPr>
        <w:t xml:space="preserve">Qué cambió. </w:t>
      </w:r>
      <w:r>
        <w:t>La comisión de Bienestar Animal postergó por quince días el estudio de modificaciones a los artículos 57, 58, 59, 63, 65, 67 y 68 de la Ley 7513/2025. La propuesta de elevar penas a ocho años permanece en discusión.</w:t>
      </w:r>
    </w:p>
    <w:p>
      <w:r>
        <w:rPr>
          <w:b/>
          <w:color w:val="876523"/>
        </w:rPr>
        <w:t xml:space="preserve">A quién afecta. </w:t>
      </w:r>
      <w:r>
        <w:t>Profesionales penales, entidades de protección animal y áreas de cumplimiento.</w:t>
      </w:r>
    </w:p>
    <w:p>
      <w:r>
        <w:rPr>
          <w:b/>
          <w:color w:val="876523"/>
        </w:rPr>
        <w:t xml:space="preserve">Acción recomendada. </w:t>
      </w:r>
      <w:r>
        <w:t>Seguir el expediente y el texto que llegue al Pleno antes de ajustar protocolos o comunicar una nueva pena.</w:t>
      </w:r>
    </w:p>
    <w:p>
      <w:r>
        <w:rPr>
          <w:b/>
          <w:color w:val="876523"/>
        </w:rPr>
        <w:t xml:space="preserve">Control. </w:t>
      </w:r>
      <w:r>
        <w:t>La ficha SILPy S-2603332 confirma el proyecto y su estado en trámite; la nota del Senado acredita la postergación el 13/10. El vinculado S-2604071 es un pedido de informe al Ejecutivo, no la aprobación de la reforma. Texto íntegro del proyecto: pendiente de cotejo. No se afirma una pena vigente ni se deduce una nueva sesión de los quince días.</w:t>
      </w:r>
    </w:p>
    <w:p>
      <w:pPr>
        <w:spacing w:after="60"/>
      </w:pPr>
      <w:hyperlink r:id="rId24">
        <w:r>
          <w:rPr>
            <w:color w:val="12314B"/>
          </w:rPr>
          <w:t>Fuente oficial 1</w:t>
        </w:r>
      </w:hyperlink>
    </w:p>
    <w:p>
      <w:pPr>
        <w:spacing w:after="60"/>
      </w:pPr>
      <w:hyperlink r:id="rId25">
        <w:r>
          <w:rPr>
            <w:color w:val="12314B"/>
          </w:rPr>
          <w:t>Fuente oficial 2</w:t>
        </w:r>
      </w:hyperlink>
    </w:p>
    <w:p>
      <w:pPr>
        <w:spacing w:after="60"/>
      </w:pPr>
      <w:hyperlink r:id="rId26">
        <w:r>
          <w:rPr>
            <w:color w:val="12314B"/>
          </w:rPr>
          <w:t>Fuente oficial 3</w:t>
        </w:r>
      </w:hyperlink>
    </w:p>
    <w:p>
      <w:r>
        <w:br w:type="column"/>
      </w:r>
    </w:p>
    <w:p>
      <w:pPr>
        <w:pStyle w:val="Heading1"/>
      </w:pPr>
      <w:r>
        <w:t>Agenda de vencimientos</w:t>
      </w:r>
    </w:p>
    <w:p>
      <w:r>
        <w:rPr>
          <w:b/>
          <w:color w:val="876523"/>
        </w:rPr>
        <w:t xml:space="preserve">19/10 · 08:00–14:00 · HOY. </w:t>
      </w:r>
      <w:r>
        <w:t>Contestación de impugnaciones para abogados al CM. La actividad 7 y el art. 3 de la Res. TSJE 196/2026 confirman ventana y habilitación.</w:t>
      </w:r>
    </w:p>
    <w:p>
      <w:pPr>
        <w:spacing w:after="60"/>
      </w:pPr>
      <w:hyperlink r:id="rId22">
        <w:r>
          <w:rPr>
            <w:color w:val="12314B"/>
          </w:rPr>
          <w:t>Fuente oficial</w:t>
        </w:r>
      </w:hyperlink>
    </w:p>
    <w:p>
      <w:r>
        <w:rPr>
          <w:b/>
          <w:color w:val="876523"/>
        </w:rPr>
        <w:t xml:space="preserve">19/10 · 00:01 · INICIO ANUNCIADO. </w:t>
      </w:r>
      <w:r>
        <w:t>Nuevos valores y normalización del sistema notarial. Confirmar disponibilidad antes de operar; no se verificó una transacción.</w:t>
      </w:r>
    </w:p>
    <w:p>
      <w:pPr>
        <w:spacing w:after="60"/>
      </w:pPr>
      <w:hyperlink r:id="rId12">
        <w:r>
          <w:rPr>
            <w:color w:val="12314B"/>
          </w:rPr>
          <w:t>Fuente oficial</w:t>
        </w:r>
      </w:hyperlink>
    </w:p>
    <w:p>
      <w:r>
        <w:rPr>
          <w:b/>
          <w:color w:val="876523"/>
        </w:rPr>
        <w:t xml:space="preserve">21/10 · HITO DEL TSJE. </w:t>
      </w:r>
      <w:r>
        <w:t>El cronograma prevé resolución de impugnaciones y oficialización de candidaturas hasta el miércoles 21. No es una carga de presentación general para abogados.</w:t>
      </w:r>
    </w:p>
    <w:p>
      <w:pPr>
        <w:spacing w:after="60"/>
      </w:pPr>
      <w:hyperlink r:id="rId22">
        <w:r>
          <w:rPr>
            <w:color w:val="12314B"/>
          </w:rPr>
          <w:t>Fuente oficial</w:t>
        </w:r>
      </w:hyperlink>
    </w:p>
    <w:p>
      <w:r>
        <w:rPr>
          <w:b/>
          <w:color w:val="876523"/>
        </w:rPr>
        <w:t xml:space="preserve">22–23/10 · HITOS DEL CRONOGRAMA. </w:t>
      </w:r>
      <w:r>
        <w:t>Inicio de propaganda el jueves 22; publicación del modelo de pantalla de votación prevista el viernes 23. Antecedente: Res. 196/2026; no se presentan como una nueva norma semanal.</w:t>
      </w:r>
    </w:p>
    <w:p>
      <w:pPr>
        <w:spacing w:after="60"/>
      </w:pPr>
      <w:hyperlink r:id="rId22">
        <w:r>
          <w:rPr>
            <w:color w:val="12314B"/>
          </w:rPr>
          <w:t>Fuente oficial</w:t>
        </w:r>
      </w:hyperlink>
    </w:p>
    <w:p>
      <w:r>
        <w:t>No se deducen vencimientos individuales ni traslados nacionales sin calendario aplicable confirmado.</w:t>
      </w:r>
    </w:p>
    <w:p>
      <w:r>
        <w:br w:type="column"/>
      </w:r>
    </w:p>
    <w:p>
      <w:pPr>
        <w:pStyle w:val="Heading1"/>
      </w:pPr>
      <w:r>
        <w:t>Criterio Alia</w:t>
      </w:r>
    </w:p>
    <w:p>
      <w:r>
        <w:t>Análisis editorial</w:t>
      </w:r>
    </w:p>
    <w:p>
      <w:r>
        <w:t>La evidencia de funcionamiento importa tanto como el anuncio. La primera providencia digital acredita un avance operativo informado, pero no elimina las comparecencias exigidas. En materia registral, el plazo de un encargo interno no modifica por sí solo los vencimientos del usuario. Y una pena propuesta en comisión no puede comunicarse como vigente.</w:t>
      </w:r>
    </w:p>
    <w:p>
      <w:pPr>
        <w:pStyle w:val="Heading2"/>
      </w:pPr>
      <w:r>
        <w:t>Corte editorial</w:t>
      </w:r>
    </w:p>
    <w:p>
      <w:r>
        <w:t>12–18 de octubre de 2026. Corte: 18/10, 23:59, Paraguay. Consulta y segunda pasada: 19/10. Normas previas: solo antecedentes.</w:t>
      </w:r>
    </w:p>
    <w:p>
      <w:pPr>
        <w:sectPr>
          <w:pgSz w:w="11909" w:h="16834"/>
          <w:pgMar w:top="2232" w:right="691" w:bottom="864" w:left="691" w:header="346" w:footer="720" w:gutter="0"/>
          <w:cols w:space="260" w:num="3" w:sep="1"/>
          <w:docGrid w:linePitch="360"/>
        </w:sectPr>
      </w:pPr>
    </w:p>
    <w:p>
      <w:pPr>
        <w:pStyle w:val="Heading1"/>
      </w:pPr>
      <w:r>
        <w:t>Portada web, app y archivo</w:t>
      </w:r>
    </w:p>
    <w:p>
      <w:r>
        <w:t>Módulo propuesto inmediatamente debajo de la presentación de Alia y los accesos a Chat y suscripción. Contendrá portada 006, noticia principal, índice por materias, tres botones de acceso y archivo de ediciones anteriores.</w:t>
      </w:r>
    </w:p>
    <w:tbl>
      <w:tblPr>
        <w:tblStyle w:val="TableGrid"/>
        <w:tblW w:type="auto" w:w="0"/>
        <w:tblLook w:firstColumn="1" w:firstRow="1" w:lastColumn="0" w:lastRow="0" w:noHBand="0" w:noVBand="1" w:val="04A0"/>
      </w:tblPr>
      <w:tblGrid>
        <w:gridCol w:w="5263"/>
        <w:gridCol w:w="5263"/>
      </w:tblGrid>
      <w:tr>
        <w:tc>
          <w:tcPr>
            <w:tcW w:type="dxa" w:w="5263"/>
          </w:tcPr>
          <w:p>
            <w:r>
              <w:t>Materia</w:t>
            </w:r>
          </w:p>
        </w:tc>
        <w:tc>
          <w:tcPr>
            <w:tcW w:type="dxa" w:w="5263"/>
          </w:tcPr>
          <w:p>
            <w:r>
              <w:t>Incorporación propuesta</w:t>
            </w:r>
          </w:p>
        </w:tc>
      </w:tr>
      <w:tr>
        <w:tc>
          <w:tcPr>
            <w:tcW w:type="dxa" w:w="5263"/>
          </w:tcPr>
          <w:p>
            <w:pPr>
              <w:spacing w:after="60"/>
            </w:pPr>
            <w:r>
              <w:rPr>
                <w:sz w:val="16"/>
              </w:rPr>
              <w:t>Constitucional</w:t>
            </w:r>
          </w:p>
        </w:tc>
        <w:tc>
          <w:tcPr>
            <w:tcW w:type="dxa" w:w="5263"/>
          </w:tcPr>
          <w:p>
            <w:pPr>
              <w:spacing w:after="60"/>
            </w:pPr>
            <w:r>
              <w:rPr>
                <w:sz w:val="16"/>
              </w:rPr>
              <w:t>Elección de abogados: el traslado se contesta hasta el 19 · Acto institucional</w:t>
            </w:r>
          </w:p>
        </w:tc>
      </w:tr>
      <w:tr>
        <w:tc>
          <w:tcPr>
            <w:tcW w:type="dxa" w:w="5263"/>
          </w:tcPr>
          <w:p>
            <w:pPr>
              <w:spacing w:after="60"/>
            </w:pPr>
            <w:r>
              <w:rPr>
                <w:sz w:val="16"/>
              </w:rPr>
              <w:t>Penal</w:t>
            </w:r>
          </w:p>
        </w:tc>
        <w:tc>
          <w:tcPr>
            <w:tcW w:type="dxa" w:w="5263"/>
          </w:tcPr>
          <w:p>
            <w:pPr>
              <w:spacing w:after="60"/>
            </w:pPr>
            <w:r>
              <w:rPr>
                <w:sz w:val="16"/>
              </w:rPr>
              <w:t>Maltrato animal: la reforma penal continúa en comisión · Proyecto en trámite</w:t>
            </w:r>
          </w:p>
        </w:tc>
      </w:tr>
      <w:tr>
        <w:tc>
          <w:tcPr>
            <w:tcW w:type="dxa" w:w="5263"/>
          </w:tcPr>
          <w:p>
            <w:pPr>
              <w:spacing w:after="60"/>
            </w:pPr>
            <w:r>
              <w:rPr>
                <w:sz w:val="16"/>
              </w:rPr>
              <w:t>Civil</w:t>
            </w:r>
          </w:p>
        </w:tc>
        <w:tc>
          <w:tcPr>
            <w:tcW w:type="dxa" w:w="5263"/>
          </w:tcPr>
          <w:p>
            <w:pPr>
              <w:spacing w:after="60"/>
            </w:pPr>
            <w:r>
              <w:rPr>
                <w:sz w:val="16"/>
              </w:rPr>
              <w:t>Naturalización: la Sala firma la primera providencia digital · Acto institucional</w:t>
            </w:r>
          </w:p>
        </w:tc>
      </w:tr>
      <w:tr>
        <w:tc>
          <w:tcPr>
            <w:tcW w:type="dxa" w:w="5263"/>
          </w:tcPr>
          <w:p>
            <w:pPr>
              <w:spacing w:after="60"/>
            </w:pPr>
            <w:r>
              <w:rPr>
                <w:sz w:val="16"/>
              </w:rPr>
              <w:t>Comercial</w:t>
            </w:r>
          </w:p>
        </w:tc>
        <w:tc>
          <w:tcPr>
            <w:tcW w:type="dxa" w:w="5263"/>
          </w:tcPr>
          <w:p>
            <w:pPr>
              <w:spacing w:after="60"/>
            </w:pPr>
            <w:r>
              <w:rPr>
                <w:sz w:val="16"/>
              </w:rPr>
              <w:t>RUN: diciembre es el plazo para presentar el rediseño interno · Acto institucional</w:t>
            </w:r>
          </w:p>
        </w:tc>
      </w:tr>
      <w:tr>
        <w:tc>
          <w:tcPr>
            <w:tcW w:type="dxa" w:w="5263"/>
          </w:tcPr>
          <w:p>
            <w:pPr>
              <w:spacing w:after="60"/>
            </w:pPr>
            <w:r>
              <w:rPr>
                <w:sz w:val="16"/>
              </w:rPr>
              <w:t>Laboral</w:t>
            </w:r>
          </w:p>
        </w:tc>
        <w:tc>
          <w:tcPr>
            <w:tcW w:type="dxa" w:w="5263"/>
          </w:tcPr>
          <w:p>
            <w:pPr>
              <w:spacing w:after="60"/>
            </w:pPr>
            <w:r>
              <w:rPr>
                <w:sz w:val="16"/>
              </w:rPr>
              <w:t>Limpio incorpora la cobertura electrónica de gastos · Acto institucional</w:t>
            </w:r>
          </w:p>
        </w:tc>
      </w:tr>
      <w:tr>
        <w:tc>
          <w:tcPr>
            <w:tcW w:type="dxa" w:w="5263"/>
          </w:tcPr>
          <w:p>
            <w:pPr>
              <w:spacing w:after="60"/>
            </w:pPr>
            <w:r>
              <w:rPr>
                <w:sz w:val="16"/>
              </w:rPr>
              <w:t>Familia</w:t>
            </w:r>
          </w:p>
        </w:tc>
        <w:tc>
          <w:tcPr>
            <w:tcW w:type="dxa" w:w="5263"/>
          </w:tcPr>
          <w:p>
            <w:pPr>
              <w:spacing w:after="60"/>
            </w:pPr>
            <w:r>
              <w:rPr>
                <w:sz w:val="16"/>
              </w:rPr>
              <w:t>Caacupé: interinato anunciado desde el 1 de noviembre · Acto institucional</w:t>
            </w:r>
          </w:p>
        </w:tc>
      </w:tr>
      <w:tr>
        <w:tc>
          <w:tcPr>
            <w:tcW w:type="dxa" w:w="5263"/>
          </w:tcPr>
          <w:p>
            <w:pPr>
              <w:spacing w:after="60"/>
            </w:pPr>
            <w:r>
              <w:rPr>
                <w:sz w:val="16"/>
              </w:rPr>
              <w:t>Tributario</w:t>
            </w:r>
          </w:p>
        </w:tc>
        <w:tc>
          <w:tcPr>
            <w:tcW w:type="dxa" w:w="5263"/>
          </w:tcPr>
          <w:p>
            <w:pPr>
              <w:spacing w:after="60"/>
            </w:pPr>
            <w:r>
              <w:rPr>
                <w:sz w:val="16"/>
              </w:rPr>
              <w:t>DNIT presenta resultados de regularización; no anuncia un nuevo plazo · Acto institucional</w:t>
            </w:r>
          </w:p>
        </w:tc>
      </w:tr>
      <w:tr>
        <w:tc>
          <w:tcPr>
            <w:tcW w:type="dxa" w:w="5263"/>
          </w:tcPr>
          <w:p>
            <w:pPr>
              <w:spacing w:after="60"/>
            </w:pPr>
            <w:r>
              <w:rPr>
                <w:sz w:val="16"/>
              </w:rPr>
              <w:t>Ambiental</w:t>
            </w:r>
          </w:p>
        </w:tc>
        <w:tc>
          <w:tcPr>
            <w:tcW w:type="dxa" w:w="5263"/>
          </w:tcPr>
          <w:p>
            <w:pPr>
              <w:spacing w:after="60"/>
            </w:pPr>
            <w:r>
              <w:rPr>
                <w:sz w:val="16"/>
              </w:rPr>
              <w:t>Maltrato animal: la reforma penal continúa en comisión · Proyecto en trámite</w:t>
            </w:r>
          </w:p>
        </w:tc>
      </w:tr>
      <w:tr>
        <w:tc>
          <w:tcPr>
            <w:tcW w:type="dxa" w:w="5263"/>
          </w:tcPr>
          <w:p>
            <w:pPr>
              <w:spacing w:after="60"/>
            </w:pPr>
            <w:r>
              <w:rPr>
                <w:sz w:val="16"/>
              </w:rPr>
              <w:t>Procesal</w:t>
            </w:r>
          </w:p>
        </w:tc>
        <w:tc>
          <w:tcPr>
            <w:tcW w:type="dxa" w:w="5263"/>
          </w:tcPr>
          <w:p>
            <w:pPr>
              <w:spacing w:after="60"/>
            </w:pPr>
            <w:r>
              <w:rPr>
                <w:sz w:val="16"/>
              </w:rPr>
              <w:t>Limpio incorpora la cobertura electrónica de gastos · Acto institucional</w:t>
            </w:r>
          </w:p>
        </w:tc>
      </w:tr>
      <w:tr>
        <w:tc>
          <w:tcPr>
            <w:tcW w:type="dxa" w:w="5263"/>
          </w:tcPr>
          <w:p>
            <w:pPr>
              <w:spacing w:after="60"/>
            </w:pPr>
            <w:r>
              <w:rPr>
                <w:sz w:val="16"/>
              </w:rPr>
              <w:t>Análisis</w:t>
            </w:r>
          </w:p>
        </w:tc>
        <w:tc>
          <w:tcPr>
            <w:tcW w:type="dxa" w:w="5263"/>
          </w:tcPr>
          <w:p>
            <w:pPr>
              <w:spacing w:after="60"/>
            </w:pPr>
            <w:r>
              <w:rPr>
                <w:sz w:val="16"/>
              </w:rPr>
              <w:t>Conservar la noticia anterior.</w:t>
            </w:r>
          </w:p>
        </w:tc>
      </w:tr>
    </w:tbl>
    <w:p>
      <w:pPr>
        <w:pStyle w:val="Heading2"/>
      </w:pPr>
      <w:r>
        <w:t>Archivo y controles pendientes</w:t>
      </w:r>
    </w:p>
    <w:p>
      <w:r>
        <w:t>Ficha permanente por edición y noticia; metadatos y URLs propuestas en el JSON y el informe HTML. Mantener las URLs y el acceso a todas las noticias anteriores. Los enlaces nuevos son propuestas, no páginas publicadas.</w:t>
      </w:r>
    </w:p>
    <w:p>
      <w:r>
        <w:t>La extracción pública devolvió una edición 004 en caché; no acredita regresión de la 005. La portada de Hercules no pudo extraerse. Cotejar tarjetas, materias adicionales y URLs previas tras aprobación. El iPhone real no se probó.</w:t>
      </w:r>
    </w:p>
    <w:p>
      <w:pPr>
        <w:sectPr>
          <w:pgSz w:w="11909" w:h="16834"/>
          <w:pgMar w:top="2232" w:right="691" w:bottom="864" w:left="691" w:header="346" w:footer="720" w:gutter="0"/>
          <w:cols w:space="260" w:num="1" w:sep="0"/>
          <w:docGrid w:linePitch="360"/>
        </w:sectPr>
      </w:pPr>
    </w:p>
    <w:p>
      <w:pPr>
        <w:pStyle w:val="Heading1"/>
      </w:pPr>
      <w:r>
        <w:t>Redes: textos finales para aprobación</w:t>
      </w:r>
    </w:p>
    <w:p>
      <w:pPr>
        <w:pStyle w:val="Heading2"/>
      </w:pPr>
      <w:r>
        <w:t>LinkedIn</w:t>
      </w:r>
    </w:p>
    <w:p>
      <w:r>
        <w:t>Alia — Periódico Jurídico 006 reúne novedades oficiales del 12 al 18 de octubre: materiales notariales, práctica judicial, RUN, elección de abogados y tributación. El radar distingue la reforma animal en trámite. Corte: 18/10/2026. Edición y fuentes: https://alia.com.py/biblioteca-juridica/alia-legal/</w:t>
      </w:r>
    </w:p>
    <w:p>
      <w:pPr>
        <w:pStyle w:val="Heading2"/>
      </w:pPr>
      <w:r>
        <w:t>Instagram</w:t>
      </w:r>
    </w:p>
    <w:p>
      <w:r>
        <w:t>Alia — Periódico Jurídico 006 | Semana del 12 al 18 de octubre. Materiales notariales, naturalización digital, juzgados de Limpio y agenda profesional. La reforma sobre maltrato animal sigue en trámite. Corte: 18/10/2026. Edición y fuentes en alia.com.py. #Alia #PeriódicoJurídico #DerechoParaguayo</w:t>
      </w:r>
    </w:p>
    <w:p>
      <w:pPr>
        <w:pStyle w:val="Heading2"/>
      </w:pPr>
      <w:r>
        <w:t>Facebook</w:t>
      </w:r>
    </w:p>
    <w:p>
      <w:r>
        <w:t>Alia — Periódico Jurídico 006: novedades de la semana del 12 al 18 de octubre, con fuentes oficiales y estados jurídicos diferenciados. Materiales notariales, práctica judicial y radar legislativo. La propuesta sobre maltrato animal no es una ley vigente. Edición y fuentes: https://alia.com.py/biblioteca-juridica/alia-legal/</w:t>
      </w:r>
    </w:p>
    <w:p>
      <w:pPr>
        <w:pStyle w:val="Heading2"/>
      </w:pPr>
      <w:r>
        <w:t>X</w:t>
      </w:r>
    </w:p>
    <w:p>
      <w:r>
        <w:t>Alia — Periódico Jurídico 006: materiales notariales, práctica judicial, RUN y tributación. La reforma sobre maltrato animal sigue en trámite. Corte: 18/10/2026. https://alia.com.py/biblioteca-juridica/alia-legal/</w:t>
      </w:r>
    </w:p>
    <w:p>
      <w:r>
        <w:br w:type="column"/>
      </w:r>
    </w:p>
    <w:p>
      <w:pPr>
        <w:pStyle w:val="Heading1"/>
      </w:pPr>
      <w:r>
        <w:t>Prioridades semanales</w:t>
      </w:r>
    </w:p>
    <w:p>
      <w:r>
        <w:rPr>
          <w:b/>
          <w:color w:val="876523"/>
        </w:rPr>
        <w:t xml:space="preserve">1. </w:t>
      </w:r>
      <w:r>
        <w:t>Publicación autorizada por Mario el 19/10/2026. Comprobar el resultado en web, Hercules y redes y registrar sus enlaces.</w:t>
      </w:r>
    </w:p>
    <w:p>
      <w:r>
        <w:rPr>
          <w:b/>
          <w:color w:val="876523"/>
        </w:rPr>
        <w:t xml:space="preserve">2. </w:t>
      </w:r>
      <w:r>
        <w:t>Obtener las resoluciones notariales firmadas y cotejar el texto íntegro del proyecto animal S-2603332. El cronograma electoral ya fue cotejado; verificar cada expediente y cualquier decisión posterior.</w:t>
      </w:r>
    </w:p>
    <w:p>
      <w:r>
        <w:rPr>
          <w:b/>
          <w:color w:val="876523"/>
        </w:rPr>
        <w:t xml:space="preserve">3. </w:t>
      </w:r>
      <w:r>
        <w:t>Comprobar el módulo, las notas, sus retornos y el archivo en alia.com.py y Hercules; probar además un iPhone real, en claro y oscuro.</w:t>
      </w:r>
    </w:p>
    <w:p>
      <w:r>
        <w:rPr>
          <w:b/>
          <w:color w:val="876523"/>
        </w:rPr>
        <w:t xml:space="preserve">4. </w:t>
      </w:r>
      <w:r>
        <w:t>Mantener la edición 005 y las anteriores accesibles; la autorización y los avances de la 005 no equivalen a aprobación de la 006.</w:t>
      </w:r>
    </w:p>
    <w:p>
      <w:r>
        <w:rPr>
          <w:b/>
          <w:color w:val="876523"/>
        </w:rPr>
        <w:t xml:space="preserve">5. </w:t>
      </w:r>
      <w:r>
        <w:t>Preparar la carga de los tres fragmentos en Chatbase después de aprobación y comprobar recuperación con fuentes. No se efectuó carga en esta entrega.</w:t>
      </w:r>
    </w:p>
    <w:p>
      <w:r>
        <w:rPr>
          <w:b/>
          <w:color w:val="876523"/>
        </w:rPr>
        <w:t xml:space="preserve">6. </w:t>
      </w:r>
      <w:r>
        <w:t>Antes de publicar en X, confirmar que el acceso y el canal funcionen. La conexión gratuita a Meta no acredita conexión a X ni justifica contratar un plan pago.</w:t>
      </w:r>
    </w:p>
    <w:p>
      <w:r>
        <w:t>APTO PARA REVISIÓN no equivale a aprobación. No se realizó ninguna publicación ni carga externa.</w:t>
      </w:r>
    </w:p>
    <w:p>
      <w:pPr>
        <w:sectPr>
          <w:pgSz w:w="11909" w:h="16834"/>
          <w:pgMar w:top="2232" w:right="691" w:bottom="864" w:left="691" w:header="346" w:footer="720" w:gutter="0"/>
          <w:cols w:space="260" w:num="2" w:sep="1"/>
          <w:docGrid w:linePitch="360"/>
        </w:sectPr>
      </w:pPr>
    </w:p>
    <w:p>
      <w:pPr>
        <w:pStyle w:val="Heading1"/>
      </w:pPr>
      <w:r>
        <w:t>Matriz de control · I</w:t>
      </w:r>
    </w:p>
    <w:p>
      <w:pPr>
        <w:pStyle w:val="Heading2"/>
      </w:pPr>
      <w:r>
        <w:t>Materiales notariales: nuevos precios anunciados desde el 19 de octubre</w:t>
      </w:r>
    </w:p>
    <w:p>
      <w:pPr>
        <w:spacing w:after="60"/>
      </w:pPr>
      <w:r>
        <w:rPr>
          <w:b/>
          <w:color w:val="876523"/>
          <w:sz w:val="15"/>
        </w:rPr>
        <w:t xml:space="preserve">Estado. </w:t>
      </w:r>
      <w:r>
        <w:rPr>
          <w:sz w:val="15"/>
        </w:rPr>
        <w:t>Acto institucional</w:t>
      </w:r>
    </w:p>
    <w:p>
      <w:pPr>
        <w:spacing w:after="60"/>
      </w:pPr>
      <w:r>
        <w:rPr>
          <w:b/>
          <w:color w:val="876523"/>
          <w:sz w:val="15"/>
        </w:rPr>
        <w:t xml:space="preserve">Autoridad. </w:t>
      </w:r>
      <w:r>
        <w:rPr>
          <w:sz w:val="15"/>
        </w:rPr>
        <w:t>Consejo de Superintendencia, Secretaría 2; ratificación CSJ. Competencia y alcance del acto firmado: cotejo pendiente.</w:t>
      </w:r>
    </w:p>
    <w:p>
      <w:pPr>
        <w:spacing w:after="60"/>
      </w:pPr>
      <w:r>
        <w:rPr>
          <w:b/>
          <w:color w:val="876523"/>
          <w:sz w:val="15"/>
        </w:rPr>
        <w:t xml:space="preserve">Acto. </w:t>
      </w:r>
      <w:r>
        <w:rPr>
          <w:sz w:val="15"/>
        </w:rPr>
        <w:t>Res. S2 381, 24/9/2026; ratificación CSJ 13.221, 1/10/2026, según aviso; membretes: Res. S2 148, 28/5/2026. Denominación íntegra de las dos primeras: pendiente.</w:t>
      </w:r>
    </w:p>
    <w:p>
      <w:pPr>
        <w:spacing w:after="60"/>
      </w:pPr>
      <w:r>
        <w:rPr>
          <w:b/>
          <w:color w:val="876523"/>
          <w:sz w:val="15"/>
        </w:rPr>
        <w:t xml:space="preserve">Fecha comprobada. </w:t>
      </w:r>
      <w:r>
        <w:rPr>
          <w:sz w:val="15"/>
        </w:rPr>
        <w:t>Comunicación 12/10, reiterada 14/10, avisos 16–17/10. Publicación formal y cláusula de vigencia del acto: pendientes. Inicio comunicado 19/10, posterior al corte.</w:t>
      </w:r>
    </w:p>
    <w:p>
      <w:pPr>
        <w:spacing w:after="60"/>
      </w:pPr>
      <w:r>
        <w:rPr>
          <w:b/>
          <w:color w:val="876523"/>
          <w:sz w:val="15"/>
        </w:rPr>
        <w:t xml:space="preserve">Incertidumbre. </w:t>
      </w:r>
      <w:r>
        <w:rPr>
          <w:sz w:val="15"/>
        </w:rPr>
        <w:t>Acto institucional al corte del 18/10. No se verificó la reapertura efectiva ni el texto íntegro de las resoluciones S2 381 y CSJ 13.221. El aviso del 16 fecha esta última el 1/10/2026. Liquidación/pago y solicitudes tienen cortes diferentes, sin contradicción.</w:t>
      </w:r>
    </w:p>
    <w:p>
      <w:pPr>
        <w:spacing w:after="60"/>
      </w:pPr>
      <w:r>
        <w:rPr>
          <w:b/>
          <w:color w:val="876523"/>
          <w:sz w:val="15"/>
        </w:rPr>
        <w:t xml:space="preserve">Resultado. </w:t>
      </w:r>
      <w:r>
        <w:rPr>
          <w:sz w:val="15"/>
        </w:rPr>
        <w:t>REQUIERE VERIFICACIÓN</w:t>
      </w:r>
    </w:p>
    <w:p>
      <w:pPr>
        <w:spacing w:after="60"/>
      </w:pPr>
      <w:hyperlink r:id="rId11">
        <w:r>
          <w:rPr>
            <w:color w:val="12314B"/>
          </w:rPr>
          <w:t>Fuente oficial 1</w:t>
        </w:r>
      </w:hyperlink>
    </w:p>
    <w:p>
      <w:pPr>
        <w:spacing w:after="60"/>
      </w:pPr>
      <w:hyperlink r:id="rId12">
        <w:r>
          <w:rPr>
            <w:color w:val="12314B"/>
          </w:rPr>
          <w:t>Fuente oficial 2</w:t>
        </w:r>
      </w:hyperlink>
    </w:p>
    <w:p>
      <w:pPr>
        <w:spacing w:after="60"/>
      </w:pPr>
      <w:hyperlink r:id="rId13">
        <w:r>
          <w:rPr>
            <w:color w:val="12314B"/>
          </w:rPr>
          <w:t>Fuente oficial 3</w:t>
        </w:r>
      </w:hyperlink>
    </w:p>
    <w:p>
      <w:pPr>
        <w:pStyle w:val="Heading2"/>
      </w:pPr>
      <w:r>
        <w:t>Limpio incorpora la cobertura electrónica de gastos</w:t>
      </w:r>
    </w:p>
    <w:p>
      <w:pPr>
        <w:spacing w:after="60"/>
      </w:pPr>
      <w:r>
        <w:rPr>
          <w:b/>
          <w:color w:val="876523"/>
          <w:sz w:val="15"/>
        </w:rPr>
        <w:t xml:space="preserve">Estado. </w:t>
      </w:r>
      <w:r>
        <w:rPr>
          <w:sz w:val="15"/>
        </w:rPr>
        <w:t>Acto institucional</w:t>
      </w:r>
    </w:p>
    <w:p>
      <w:pPr>
        <w:spacing w:after="60"/>
      </w:pPr>
      <w:r>
        <w:rPr>
          <w:b/>
          <w:color w:val="876523"/>
          <w:sz w:val="15"/>
        </w:rPr>
        <w:t xml:space="preserve">Autoridad. </w:t>
      </w:r>
      <w:r>
        <w:rPr>
          <w:sz w:val="15"/>
        </w:rPr>
        <w:t>CSJ; implementación acompañada por Ingresos Judiciales y DGTIC.</w:t>
      </w:r>
    </w:p>
    <w:p>
      <w:pPr>
        <w:spacing w:after="60"/>
      </w:pPr>
      <w:r>
        <w:rPr>
          <w:b/>
          <w:color w:val="876523"/>
          <w:sz w:val="15"/>
        </w:rPr>
        <w:t xml:space="preserve">Acto. </w:t>
      </w:r>
      <w:r>
        <w:rPr>
          <w:sz w:val="15"/>
        </w:rPr>
        <w:t>La comunicación cita Acordada 1718/2023, régimen de cobertura de gastos. Antecedente ampliatorio: Acordada 1756/2024. Se localizaron sus PDF oficiales; el alcance de exenciones no es objeto de esta nota.</w:t>
      </w:r>
    </w:p>
    <w:p>
      <w:pPr>
        <w:spacing w:after="60"/>
      </w:pPr>
      <w:r>
        <w:rPr>
          <w:b/>
          <w:color w:val="876523"/>
          <w:sz w:val="15"/>
        </w:rPr>
        <w:t xml:space="preserve">Fecha comprobada. </w:t>
      </w:r>
      <w:r>
        <w:rPr>
          <w:sz w:val="15"/>
        </w:rPr>
        <w:t>Hecho operativo 12–16/10; publicación 16/10. No se presenta como sanción/promulgación de una nueva ley.</w:t>
      </w:r>
    </w:p>
    <w:p>
      <w:pPr>
        <w:spacing w:after="60"/>
      </w:pPr>
      <w:r>
        <w:rPr>
          <w:b/>
          <w:color w:val="876523"/>
          <w:sz w:val="15"/>
        </w:rPr>
        <w:t xml:space="preserve">Incertidumbre. </w:t>
      </w:r>
      <w:r>
        <w:rPr>
          <w:sz w:val="15"/>
        </w:rPr>
        <w:t>Se informa una implementación local, no una nueva tasa nacional. No se generaliza a otros juzgados ni se reproducen importes o exenciones. Funcionamiento informado por la CSJ; no se realizó una transacción de prueba.</w:t>
      </w:r>
    </w:p>
    <w:p>
      <w:pPr>
        <w:spacing w:after="60"/>
      </w:pPr>
      <w:r>
        <w:rPr>
          <w:b/>
          <w:color w:val="876523"/>
          <w:sz w:val="15"/>
        </w:rPr>
        <w:t xml:space="preserve">Resultado. </w:t>
      </w:r>
      <w:r>
        <w:rPr>
          <w:sz w:val="15"/>
        </w:rPr>
        <w:t>APTO PARA REVISIÓN</w:t>
      </w:r>
    </w:p>
    <w:p>
      <w:pPr>
        <w:spacing w:after="60"/>
      </w:pPr>
      <w:hyperlink r:id="rId14">
        <w:r>
          <w:rPr>
            <w:color w:val="12314B"/>
          </w:rPr>
          <w:t>Fuente oficial 1</w:t>
        </w:r>
      </w:hyperlink>
    </w:p>
    <w:p>
      <w:pPr>
        <w:spacing w:after="60"/>
      </w:pPr>
      <w:hyperlink r:id="rId15">
        <w:r>
          <w:rPr>
            <w:color w:val="12314B"/>
          </w:rPr>
          <w:t>Fuente oficial 2</w:t>
        </w:r>
      </w:hyperlink>
    </w:p>
    <w:p>
      <w:pPr>
        <w:spacing w:after="60"/>
      </w:pPr>
      <w:hyperlink r:id="rId16">
        <w:r>
          <w:rPr>
            <w:color w:val="12314B"/>
          </w:rPr>
          <w:t>Fuente oficial 3</w:t>
        </w:r>
      </w:hyperlink>
    </w:p>
    <w:p>
      <w:r>
        <w:br w:type="column"/>
      </w:r>
    </w:p>
    <w:p>
      <w:pPr>
        <w:pStyle w:val="Heading2"/>
      </w:pPr>
      <w:r>
        <w:t>Naturalización: la Sala firma la primera providencia digital</w:t>
      </w:r>
    </w:p>
    <w:p>
      <w:pPr>
        <w:spacing w:after="60"/>
      </w:pPr>
      <w:r>
        <w:rPr>
          <w:b/>
          <w:color w:val="876523"/>
          <w:sz w:val="15"/>
        </w:rPr>
        <w:t xml:space="preserve">Estado. </w:t>
      </w:r>
      <w:r>
        <w:rPr>
          <w:sz w:val="15"/>
        </w:rPr>
        <w:t>Acto institucional</w:t>
      </w:r>
    </w:p>
    <w:p>
      <w:pPr>
        <w:spacing w:after="60"/>
      </w:pPr>
      <w:r>
        <w:rPr>
          <w:b/>
          <w:color w:val="876523"/>
          <w:sz w:val="15"/>
        </w:rPr>
        <w:t xml:space="preserve">Autoridad. </w:t>
      </w:r>
      <w:r>
        <w:rPr>
          <w:sz w:val="15"/>
        </w:rPr>
        <w:t>Sala Civil y Comercial de la CSJ; firma de la primera providencia atribuida a su presidente.</w:t>
      </w:r>
    </w:p>
    <w:p>
      <w:pPr>
        <w:spacing w:after="60"/>
      </w:pPr>
      <w:r>
        <w:rPr>
          <w:b/>
          <w:color w:val="876523"/>
          <w:sz w:val="15"/>
        </w:rPr>
        <w:t xml:space="preserve">Acto. </w:t>
      </w:r>
      <w:r>
        <w:rPr>
          <w:sz w:val="15"/>
        </w:rPr>
        <w:t>Habilitación de módulo y primera providencia: comunicaciones de la Sala; no se publicó en estas notas el número de la providencia. Antecedente citado: Acordada 1335/19.</w:t>
      </w:r>
    </w:p>
    <w:p>
      <w:pPr>
        <w:spacing w:after="60"/>
      </w:pPr>
      <w:r>
        <w:rPr>
          <w:b/>
          <w:color w:val="876523"/>
          <w:sz w:val="15"/>
        </w:rPr>
        <w:t xml:space="preserve">Fecha comprobada. </w:t>
      </w:r>
      <w:r>
        <w:rPr>
          <w:sz w:val="15"/>
        </w:rPr>
        <w:t>12/10: habilitación; 13/10: firma informada. No se afirma haber probado el portal. No hay nueva ley que promulgar.</w:t>
      </w:r>
    </w:p>
    <w:p>
      <w:pPr>
        <w:spacing w:after="60"/>
      </w:pPr>
      <w:r>
        <w:rPr>
          <w:b/>
          <w:color w:val="876523"/>
          <w:sz w:val="15"/>
        </w:rPr>
        <w:t xml:space="preserve">Incertidumbre. </w:t>
      </w:r>
      <w:r>
        <w:rPr>
          <w:sz w:val="15"/>
        </w:rPr>
        <w:t>La operación cuenta con un primer acto informado oficialmente. La expresión “íntegramente electrónica” no elimina los pasos presenciales que la misma Sala exige. La Acordada 1335/19 se menciona como antecedente, sin atribuirle aquí una reforma.</w:t>
      </w:r>
    </w:p>
    <w:p>
      <w:pPr>
        <w:spacing w:after="60"/>
      </w:pPr>
      <w:r>
        <w:rPr>
          <w:b/>
          <w:color w:val="876523"/>
          <w:sz w:val="15"/>
        </w:rPr>
        <w:t xml:space="preserve">Resultado. </w:t>
      </w:r>
      <w:r>
        <w:rPr>
          <w:sz w:val="15"/>
        </w:rPr>
        <w:t>APTO PARA REVISIÓN</w:t>
      </w:r>
    </w:p>
    <w:p>
      <w:pPr>
        <w:spacing w:after="60"/>
      </w:pPr>
      <w:hyperlink r:id="rId17">
        <w:r>
          <w:rPr>
            <w:color w:val="12314B"/>
          </w:rPr>
          <w:t>Fuente oficial 1</w:t>
        </w:r>
      </w:hyperlink>
    </w:p>
    <w:p>
      <w:pPr>
        <w:spacing w:after="60"/>
      </w:pPr>
      <w:hyperlink r:id="rId18">
        <w:r>
          <w:rPr>
            <w:color w:val="12314B"/>
          </w:rPr>
          <w:t>Fuente oficial 2</w:t>
        </w:r>
      </w:hyperlink>
    </w:p>
    <w:p>
      <w:pPr>
        <w:pStyle w:val="Heading2"/>
      </w:pPr>
      <w:r>
        <w:t>RUN: diciembre es el plazo para presentar el rediseño interno</w:t>
      </w:r>
    </w:p>
    <w:p>
      <w:pPr>
        <w:spacing w:after="60"/>
      </w:pPr>
      <w:r>
        <w:rPr>
          <w:b/>
          <w:color w:val="876523"/>
          <w:sz w:val="15"/>
        </w:rPr>
        <w:t xml:space="preserve">Estado. </w:t>
      </w:r>
      <w:r>
        <w:rPr>
          <w:sz w:val="15"/>
        </w:rPr>
        <w:t>Acto institucional</w:t>
      </w:r>
    </w:p>
    <w:p>
      <w:pPr>
        <w:spacing w:after="60"/>
      </w:pPr>
      <w:r>
        <w:rPr>
          <w:b/>
          <w:color w:val="876523"/>
          <w:sz w:val="15"/>
        </w:rPr>
        <w:t xml:space="preserve">Autoridad. </w:t>
      </w:r>
      <w:r>
        <w:rPr>
          <w:sz w:val="15"/>
        </w:rPr>
        <w:t>Pleno de la CSJ; encargo de organización registral.</w:t>
      </w:r>
    </w:p>
    <w:p>
      <w:pPr>
        <w:spacing w:after="60"/>
      </w:pPr>
      <w:r>
        <w:rPr>
          <w:b/>
          <w:color w:val="876523"/>
          <w:sz w:val="15"/>
        </w:rPr>
        <w:t xml:space="preserve">Acto. </w:t>
      </w:r>
      <w:r>
        <w:rPr>
          <w:sz w:val="15"/>
        </w:rPr>
        <w:t>Punto 7 de la plenaria del 13/10; Acordada 1823/2025, art. 113; propuesta NSCS 738.</w:t>
      </w:r>
    </w:p>
    <w:p>
      <w:pPr>
        <w:spacing w:after="60"/>
      </w:pPr>
      <w:r>
        <w:rPr>
          <w:b/>
          <w:color w:val="876523"/>
          <w:sz w:val="15"/>
        </w:rPr>
        <w:t xml:space="preserve">Fecha comprobada. </w:t>
      </w:r>
      <w:r>
        <w:rPr>
          <w:sz w:val="15"/>
        </w:rPr>
        <w:t>Decisión y comunicación 13/10. Extensión hasta diciembre, sin día especificado. No se deduce vigencia de un nuevo procedimiento.</w:t>
      </w:r>
    </w:p>
    <w:p>
      <w:pPr>
        <w:spacing w:after="60"/>
      </w:pPr>
      <w:r>
        <w:rPr>
          <w:b/>
          <w:color w:val="876523"/>
          <w:sz w:val="15"/>
        </w:rPr>
        <w:t xml:space="preserve">Incertidumbre. </w:t>
      </w:r>
      <w:r>
        <w:rPr>
          <w:sz w:val="15"/>
        </w:rPr>
        <w:t>No es una prórroga general para usuarios. El aviso no precisa día de diciembre; no se convierte en un vencimiento el 31.</w:t>
      </w:r>
    </w:p>
    <w:p>
      <w:pPr>
        <w:spacing w:after="60"/>
      </w:pPr>
      <w:r>
        <w:rPr>
          <w:b/>
          <w:color w:val="876523"/>
          <w:sz w:val="15"/>
        </w:rPr>
        <w:t xml:space="preserve">Resultado. </w:t>
      </w:r>
      <w:r>
        <w:rPr>
          <w:sz w:val="15"/>
        </w:rPr>
        <w:t>APTO PARA REVISIÓN</w:t>
      </w:r>
    </w:p>
    <w:p>
      <w:pPr>
        <w:spacing w:after="60"/>
      </w:pPr>
      <w:hyperlink r:id="rId19">
        <w:r>
          <w:rPr>
            <w:color w:val="12314B"/>
          </w:rPr>
          <w:t>Fuente oficial 1</w:t>
        </w:r>
      </w:hyperlink>
    </w:p>
    <w:p>
      <w:pPr>
        <w:sectPr>
          <w:pgSz w:w="11909" w:h="16834"/>
          <w:pgMar w:top="2232" w:right="691" w:bottom="864" w:left="691" w:header="346" w:footer="720" w:gutter="0"/>
          <w:cols w:space="260" w:num="2" w:sep="1"/>
          <w:docGrid w:linePitch="360"/>
        </w:sectPr>
      </w:pPr>
    </w:p>
    <w:p>
      <w:pPr>
        <w:pStyle w:val="Heading1"/>
      </w:pPr>
      <w:r>
        <w:t>Matriz de control · II</w:t>
      </w:r>
    </w:p>
    <w:p>
      <w:pPr>
        <w:pStyle w:val="Heading2"/>
      </w:pPr>
      <w:r>
        <w:t>Elección de abogados: el traslado se contesta hasta el 19</w:t>
      </w:r>
    </w:p>
    <w:p>
      <w:pPr>
        <w:spacing w:after="60"/>
      </w:pPr>
      <w:r>
        <w:rPr>
          <w:b/>
          <w:color w:val="876523"/>
          <w:sz w:val="15"/>
        </w:rPr>
        <w:t xml:space="preserve">Estado. </w:t>
      </w:r>
      <w:r>
        <w:rPr>
          <w:sz w:val="15"/>
        </w:rPr>
        <w:t>Acto institucional</w:t>
      </w:r>
    </w:p>
    <w:p>
      <w:pPr>
        <w:spacing w:after="60"/>
      </w:pPr>
      <w:r>
        <w:rPr>
          <w:b/>
          <w:color w:val="876523"/>
          <w:sz w:val="15"/>
        </w:rPr>
        <w:t xml:space="preserve">Autoridad. </w:t>
      </w:r>
      <w:r>
        <w:rPr>
          <w:sz w:val="15"/>
        </w:rPr>
        <w:t>TSJE; competencia electoral invocada en el acto: art. 6 de la Ley 635/95 y Ley 296/94. Secretaría Judicial habilitada por art. 3.</w:t>
      </w:r>
    </w:p>
    <w:p>
      <w:pPr>
        <w:spacing w:after="60"/>
      </w:pPr>
      <w:r>
        <w:rPr>
          <w:b/>
          <w:color w:val="876523"/>
          <w:sz w:val="15"/>
        </w:rPr>
        <w:t xml:space="preserve">Acto. </w:t>
      </w:r>
      <w:r>
        <w:rPr>
          <w:sz w:val="15"/>
        </w:rPr>
        <w:t>Res. TSJE 196/2026, de 31/8/2026, que aprueba el cronograma electoral para la elección de abogados al CM, período 2026–2029, prevista para el 28/11/2026. Actividad 7 y art. 3 cotejados en el documento firmado.</w:t>
      </w:r>
    </w:p>
    <w:p>
      <w:pPr>
        <w:spacing w:after="60"/>
      </w:pPr>
      <w:r>
        <w:rPr>
          <w:b/>
          <w:color w:val="876523"/>
          <w:sz w:val="15"/>
        </w:rPr>
        <w:t xml:space="preserve">Fecha comprobada. </w:t>
      </w:r>
      <w:r>
        <w:rPr>
          <w:sz w:val="15"/>
        </w:rPr>
        <w:t>Acto firmado 31/8/2026; aviso nuevo 16/10. Contestación 18–19/10, 08:00–14:00. No requiere sanción o promulgación de una ley. Cotejo visual del PDF oficial el 19/10.</w:t>
      </w:r>
    </w:p>
    <w:p>
      <w:pPr>
        <w:spacing w:after="60"/>
      </w:pPr>
      <w:r>
        <w:rPr>
          <w:b/>
          <w:color w:val="876523"/>
          <w:sz w:val="15"/>
        </w:rPr>
        <w:t xml:space="preserve">Incertidumbre. </w:t>
      </w:r>
      <w:r>
        <w:rPr>
          <w:sz w:val="15"/>
        </w:rPr>
        <w:t>Se cotejó la Res. TSJE 196/2026: actividad 7 (pág. 3) fija domingo 18 y lunes 19, 08:00–14:00; el artículo 3 (pág. 7) habilita la Secretaría en esos días y horarios. No se presume traslado por día inhábil. Verificar la notificación y cualquier decisión posterior en el expediente concreto.</w:t>
      </w:r>
    </w:p>
    <w:p>
      <w:pPr>
        <w:spacing w:after="60"/>
      </w:pPr>
      <w:r>
        <w:rPr>
          <w:b/>
          <w:color w:val="876523"/>
          <w:sz w:val="15"/>
        </w:rPr>
        <w:t xml:space="preserve">Resultado. </w:t>
      </w:r>
      <w:r>
        <w:rPr>
          <w:sz w:val="15"/>
        </w:rPr>
        <w:t>APTO PARA REVISIÓN</w:t>
      </w:r>
    </w:p>
    <w:p>
      <w:pPr>
        <w:spacing w:after="60"/>
      </w:pPr>
      <w:hyperlink r:id="rId20">
        <w:r>
          <w:rPr>
            <w:color w:val="12314B"/>
          </w:rPr>
          <w:t>Fuente oficial 1</w:t>
        </w:r>
      </w:hyperlink>
    </w:p>
    <w:p>
      <w:pPr>
        <w:spacing w:after="60"/>
      </w:pPr>
      <w:hyperlink r:id="rId21">
        <w:r>
          <w:rPr>
            <w:color w:val="12314B"/>
          </w:rPr>
          <w:t>Fuente oficial 2</w:t>
        </w:r>
      </w:hyperlink>
    </w:p>
    <w:p>
      <w:pPr>
        <w:spacing w:after="60"/>
      </w:pPr>
      <w:hyperlink r:id="rId22">
        <w:r>
          <w:rPr>
            <w:color w:val="12314B"/>
          </w:rPr>
          <w:t>Fuente oficial 3</w:t>
        </w:r>
      </w:hyperlink>
    </w:p>
    <w:p>
      <w:pPr>
        <w:pStyle w:val="Heading2"/>
      </w:pPr>
      <w:r>
        <w:t>Maltrato animal: la reforma penal continúa en comisión</w:t>
      </w:r>
    </w:p>
    <w:p>
      <w:pPr>
        <w:spacing w:after="60"/>
      </w:pPr>
      <w:r>
        <w:rPr>
          <w:b/>
          <w:color w:val="876523"/>
          <w:sz w:val="15"/>
        </w:rPr>
        <w:t xml:space="preserve">Estado. </w:t>
      </w:r>
      <w:r>
        <w:rPr>
          <w:sz w:val="15"/>
        </w:rPr>
        <w:t>Proyecto en trámite</w:t>
      </w:r>
    </w:p>
    <w:p>
      <w:pPr>
        <w:spacing w:after="60"/>
      </w:pPr>
      <w:r>
        <w:rPr>
          <w:b/>
          <w:color w:val="876523"/>
          <w:sz w:val="15"/>
        </w:rPr>
        <w:t xml:space="preserve">Autoridad. </w:t>
      </w:r>
      <w:r>
        <w:rPr>
          <w:sz w:val="15"/>
        </w:rPr>
        <w:t>Comisión de Asistencia, Protección y Bienestar Animal del Senado; estudio asesor, sin potestad para promulgar.</w:t>
      </w:r>
    </w:p>
    <w:p>
      <w:pPr>
        <w:spacing w:after="60"/>
      </w:pPr>
      <w:r>
        <w:rPr>
          <w:b/>
          <w:color w:val="876523"/>
          <w:sz w:val="15"/>
        </w:rPr>
        <w:t xml:space="preserve">Acto. </w:t>
      </w:r>
      <w:r>
        <w:rPr>
          <w:sz w:val="15"/>
        </w:rPr>
        <w:t>Exp. SILPy S-2603332, ingresado 31/3/2026, modificación de los arts. 57, 58, 59, 63, 65, 67 y 68 de la Ley 7513/2025. La ficha lo identifica en trámite, primer trámite constitucional, dictamen de comisión.</w:t>
      </w:r>
    </w:p>
    <w:p>
      <w:pPr>
        <w:spacing w:after="60"/>
      </w:pPr>
      <w:r>
        <w:rPr>
          <w:b/>
          <w:color w:val="876523"/>
          <w:sz w:val="15"/>
        </w:rPr>
        <w:t xml:space="preserve">Fecha comprobada. </w:t>
      </w:r>
      <w:r>
        <w:rPr>
          <w:sz w:val="15"/>
        </w:rPr>
        <w:t>Ingreso del proyecto: 31/3/2026 (antecedente); novedad: postergación del estudio informada 13/10. Sin sanción, promulgación ni vigencia de la reforma verificadas.</w:t>
      </w:r>
    </w:p>
    <w:p>
      <w:pPr>
        <w:spacing w:after="60"/>
      </w:pPr>
      <w:r>
        <w:rPr>
          <w:b/>
          <w:color w:val="876523"/>
          <w:sz w:val="15"/>
        </w:rPr>
        <w:t xml:space="preserve">Incertidumbre. </w:t>
      </w:r>
      <w:r>
        <w:rPr>
          <w:sz w:val="15"/>
        </w:rPr>
        <w:t>La ficha SILPy S-2603332 confirma el proyecto y su estado en trámite; la nota del Senado acredita la postergación el 13/10. El vinculado S-2604071 es un pedido de informe al Ejecutivo, no la aprobación de la reforma. Texto íntegro del proyecto: pendiente de cotejo. No se afirma una pena vigente ni se deduce una nueva sesión de los quince días.</w:t>
      </w:r>
    </w:p>
    <w:p>
      <w:pPr>
        <w:spacing w:after="60"/>
      </w:pPr>
      <w:r>
        <w:rPr>
          <w:b/>
          <w:color w:val="876523"/>
          <w:sz w:val="15"/>
        </w:rPr>
        <w:t xml:space="preserve">Resultado. </w:t>
      </w:r>
      <w:r>
        <w:rPr>
          <w:sz w:val="15"/>
        </w:rPr>
        <w:t>REQUIERE VERIFICACIÓN</w:t>
      </w:r>
    </w:p>
    <w:p>
      <w:pPr>
        <w:spacing w:after="60"/>
      </w:pPr>
      <w:hyperlink r:id="rId24">
        <w:r>
          <w:rPr>
            <w:color w:val="12314B"/>
          </w:rPr>
          <w:t>Fuente oficial 1</w:t>
        </w:r>
      </w:hyperlink>
    </w:p>
    <w:p>
      <w:pPr>
        <w:spacing w:after="60"/>
      </w:pPr>
      <w:hyperlink r:id="rId25">
        <w:r>
          <w:rPr>
            <w:color w:val="12314B"/>
          </w:rPr>
          <w:t>Fuente oficial 2</w:t>
        </w:r>
      </w:hyperlink>
    </w:p>
    <w:p>
      <w:pPr>
        <w:spacing w:after="60"/>
      </w:pPr>
      <w:hyperlink r:id="rId26">
        <w:r>
          <w:rPr>
            <w:color w:val="12314B"/>
          </w:rPr>
          <w:t>Fuente oficial 3</w:t>
        </w:r>
      </w:hyperlink>
    </w:p>
    <w:p>
      <w:r>
        <w:br w:type="column"/>
      </w:r>
    </w:p>
    <w:p>
      <w:pPr>
        <w:pStyle w:val="Heading2"/>
      </w:pPr>
      <w:r>
        <w:t>DNIT presenta resultados de regularización; no anuncia un nuevo plazo</w:t>
      </w:r>
    </w:p>
    <w:p>
      <w:pPr>
        <w:spacing w:after="60"/>
      </w:pPr>
      <w:r>
        <w:rPr>
          <w:b/>
          <w:color w:val="876523"/>
          <w:sz w:val="15"/>
        </w:rPr>
        <w:t xml:space="preserve">Estado. </w:t>
      </w:r>
      <w:r>
        <w:rPr>
          <w:sz w:val="15"/>
        </w:rPr>
        <w:t>Acto institucional</w:t>
      </w:r>
    </w:p>
    <w:p>
      <w:pPr>
        <w:spacing w:after="60"/>
      </w:pPr>
      <w:r>
        <w:rPr>
          <w:b/>
          <w:color w:val="876523"/>
          <w:sz w:val="15"/>
        </w:rPr>
        <w:t xml:space="preserve">Autoridad. </w:t>
      </w:r>
      <w:r>
        <w:rPr>
          <w:sz w:val="15"/>
        </w:rPr>
        <w:t>DNIT, Gerencia General de Impuestos Internos; información de gestión tributaria.</w:t>
      </w:r>
    </w:p>
    <w:p>
      <w:pPr>
        <w:spacing w:after="60"/>
      </w:pPr>
      <w:r>
        <w:rPr>
          <w:b/>
          <w:color w:val="876523"/>
          <w:sz w:val="15"/>
        </w:rPr>
        <w:t xml:space="preserve">Acto. </w:t>
      </w:r>
      <w:r>
        <w:rPr>
          <w:sz w:val="15"/>
        </w:rPr>
        <w:t>Reporte GGII de resultados; cita Decreto 5154/2025 como antecedente, sin reproducir su regulación.</w:t>
      </w:r>
    </w:p>
    <w:p>
      <w:pPr>
        <w:spacing w:after="60"/>
      </w:pPr>
      <w:r>
        <w:rPr>
          <w:b/>
          <w:color w:val="876523"/>
          <w:sz w:val="15"/>
        </w:rPr>
        <w:t xml:space="preserve">Fecha comprobada. </w:t>
      </w:r>
      <w:r>
        <w:rPr>
          <w:sz w:val="15"/>
        </w:rPr>
        <w:t>Publicación 16/10; período estadístico cerrado al 31/8. No se presenta el decreto de 2025 como novedad normativa de esta semana.</w:t>
      </w:r>
    </w:p>
    <w:p>
      <w:pPr>
        <w:spacing w:after="60"/>
      </w:pPr>
      <w:r>
        <w:rPr>
          <w:b/>
          <w:color w:val="876523"/>
          <w:sz w:val="15"/>
        </w:rPr>
        <w:t xml:space="preserve">Incertidumbre. </w:t>
      </w:r>
      <w:r>
        <w:rPr>
          <w:sz w:val="15"/>
        </w:rPr>
        <w:t>La novedad es la publicación del balance el 16/10, no la creación de un régimen. No se afirma prórroga, condonación automática ni plazo de adhesión abierto. El decreto íntegro y sus modificaciones deben cotejarse para asesorar un caso.</w:t>
      </w:r>
    </w:p>
    <w:p>
      <w:pPr>
        <w:spacing w:after="60"/>
      </w:pPr>
      <w:r>
        <w:rPr>
          <w:b/>
          <w:color w:val="876523"/>
          <w:sz w:val="15"/>
        </w:rPr>
        <w:t xml:space="preserve">Resultado. </w:t>
      </w:r>
      <w:r>
        <w:rPr>
          <w:sz w:val="15"/>
        </w:rPr>
        <w:t>APTO PARA REVISIÓN</w:t>
      </w:r>
    </w:p>
    <w:p>
      <w:pPr>
        <w:spacing w:after="60"/>
      </w:pPr>
      <w:hyperlink r:id="rId23">
        <w:r>
          <w:rPr>
            <w:color w:val="12314B"/>
          </w:rPr>
          <w:t>Fuente oficial 1</w:t>
        </w:r>
      </w:hyperlink>
    </w:p>
    <w:p>
      <w:pPr>
        <w:pStyle w:val="Heading2"/>
      </w:pPr>
      <w:r>
        <w:t>Caacupé: interinato anunciado desde el 1 de noviembre</w:t>
      </w:r>
    </w:p>
    <w:p>
      <w:pPr>
        <w:spacing w:after="60"/>
      </w:pPr>
      <w:r>
        <w:rPr>
          <w:b/>
          <w:color w:val="876523"/>
          <w:sz w:val="15"/>
        </w:rPr>
        <w:t xml:space="preserve">Estado. </w:t>
      </w:r>
      <w:r>
        <w:rPr>
          <w:sz w:val="15"/>
        </w:rPr>
        <w:t>Acto institucional</w:t>
      </w:r>
    </w:p>
    <w:p>
      <w:pPr>
        <w:spacing w:after="60"/>
      </w:pPr>
      <w:r>
        <w:rPr>
          <w:b/>
          <w:color w:val="876523"/>
          <w:sz w:val="15"/>
        </w:rPr>
        <w:t xml:space="preserve">Autoridad. </w:t>
      </w:r>
      <w:r>
        <w:rPr>
          <w:sz w:val="15"/>
        </w:rPr>
        <w:t>Pleno de la CSJ; organización de despachos judiciales.</w:t>
      </w:r>
    </w:p>
    <w:p>
      <w:pPr>
        <w:spacing w:after="60"/>
      </w:pPr>
      <w:r>
        <w:rPr>
          <w:b/>
          <w:color w:val="876523"/>
          <w:sz w:val="15"/>
        </w:rPr>
        <w:t xml:space="preserve">Acto. </w:t>
      </w:r>
      <w:r>
        <w:rPr>
          <w:sz w:val="15"/>
        </w:rPr>
        <w:t>Puntos 11 y 12 de la plenaria del 13/10: renuncia e interinato.</w:t>
      </w:r>
    </w:p>
    <w:p>
      <w:pPr>
        <w:spacing w:after="60"/>
      </w:pPr>
      <w:r>
        <w:rPr>
          <w:b/>
          <w:color w:val="876523"/>
          <w:sz w:val="15"/>
        </w:rPr>
        <w:t xml:space="preserve">Fecha comprobada. </w:t>
      </w:r>
      <w:r>
        <w:rPr>
          <w:sz w:val="15"/>
        </w:rPr>
        <w:t>Decisión 13/10; efecto anunciado 1/11. No se acredita ejercicio anticipado del interinato.</w:t>
      </w:r>
    </w:p>
    <w:p>
      <w:pPr>
        <w:spacing w:after="60"/>
      </w:pPr>
      <w:r>
        <w:rPr>
          <w:b/>
          <w:color w:val="876523"/>
          <w:sz w:val="15"/>
        </w:rPr>
        <w:t xml:space="preserve">Incertidumbre. </w:t>
      </w:r>
      <w:r>
        <w:rPr>
          <w:sz w:val="15"/>
        </w:rPr>
        <w:t>Es una designación futura, sin cambio de sede o suspensión de plazos acreditados en el aviso.</w:t>
      </w:r>
    </w:p>
    <w:p>
      <w:pPr>
        <w:spacing w:after="60"/>
      </w:pPr>
      <w:r>
        <w:rPr>
          <w:b/>
          <w:color w:val="876523"/>
          <w:sz w:val="15"/>
        </w:rPr>
        <w:t xml:space="preserve">Resultado. </w:t>
      </w:r>
      <w:r>
        <w:rPr>
          <w:sz w:val="15"/>
        </w:rPr>
        <w:t>APTO PARA REVISIÓN</w:t>
      </w:r>
    </w:p>
    <w:p>
      <w:pPr>
        <w:spacing w:after="60"/>
      </w:pPr>
      <w:hyperlink r:id="rId19">
        <w:r>
          <w:rPr>
            <w:color w:val="12314B"/>
          </w:rPr>
          <w:t>Fuente oficial 1</w:t>
        </w:r>
      </w:hyperlink>
    </w:p>
    <w:sectPr w:rsidR="00FC693F" w:rsidRPr="0006063C" w:rsidSect="00034616">
      <w:pgSz w:w="11909" w:h="16834"/>
      <w:pgMar w:top="2232" w:right="691" w:bottom="864" w:left="691" w:header="346" w:footer="720" w:gutter="0"/>
      <w:cols w:space="260" w:num="2" w:sep="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Alia · Periódico Jurídico 006 · Semana 12–18/10/2026 · Corte 18/10, 23:59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100"/>
      <w:jc w:val="center"/>
    </w:pPr>
    <w:r>
      <w:drawing>
        <wp:inline xmlns:a="http://schemas.openxmlformats.org/drawingml/2006/main" xmlns:pic="http://schemas.openxmlformats.org/drawingml/2006/picture">
          <wp:extent cx="1051560" cy="424668"/>
          <wp:docPr id="1" name="Picture 1"/>
          <wp:cNvGraphicFramePr>
            <a:graphicFrameLocks noChangeAspect="1"/>
          </wp:cNvGraphicFramePr>
          <a:graphic>
            <a:graphicData uri="http://schemas.openxmlformats.org/drawingml/2006/picture">
              <pic:pic>
                <pic:nvPicPr>
                  <pic:cNvPr id="0" name="Alia_Logo_Editorial.png"/>
                  <pic:cNvPicPr/>
                </pic:nvPicPr>
                <pic:blipFill>
                  <a:blip r:embed="rId1"/>
                  <a:stretch>
                    <a:fillRect/>
                  </a:stretch>
                </pic:blipFill>
                <pic:spPr>
                  <a:xfrm>
                    <a:off x="0" y="0"/>
                    <a:ext cx="1051560" cy="424668"/>
                  </a:xfrm>
                  <a:prstGeom prst="rect"/>
                </pic:spPr>
              </pic:pic>
            </a:graphicData>
          </a:graphic>
        </wp:inline>
      </w:drawing>
    </w:r>
    <w:r>
      <w:rPr>
        <w:b/>
        <w:sz w:val="32"/>
      </w:rPr>
      <w:br/>
      <w:t>Periódico Jurídico</w:t>
    </w:r>
    <w:r>
      <w:rPr>
        <w:sz w:val="16"/>
      </w:rPr>
      <w:br/>
      <w:t xml:space="preserve">PARAGUAY · 19 OCTUBRE 2026 · N.º 006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DejaVu Serif" w:hAnsi="DejaVu Serif"/>
      <w:color w:val="12314B"/>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DejaVu Serif" w:hAnsi="DejaVu Serif" w:eastAsia="DejaVu Serif" w:cs="DejaVu Serif"/>
      <w:b/>
      <w:bCs/>
      <w:color w:val="12314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DejaVu Serif" w:hAnsi="DejaVu Serif" w:eastAsia="DejaVu Serif" w:cs="DejaVu Serif"/>
      <w:b/>
      <w:bCs/>
      <w:color w:val="12314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cstheme="majorBidi" w:ascii="DejaVu Serif" w:hAnsi="DejaVu Serif" w:eastAsia="DejaVu Serif" w:cs="DejaVu Serif"/>
      <w:color w:val="12314B"/>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pj.gov.py/notas/30678-corte-suprema-informa-sobre-actualizacion-de-precios-para-garantizar-la-calidad-de-los-insumos-notariales" TargetMode="External"/><Relationship Id="rId12" Type="http://schemas.openxmlformats.org/officeDocument/2006/relationships/hyperlink" Target="https://www.pj.gov.py/notas/30781-interrumpiran-temporalmente-el-sistema-de-liquidaciones-web-para-materiales-de-uso-notarial" TargetMode="External"/><Relationship Id="rId13" Type="http://schemas.openxmlformats.org/officeDocument/2006/relationships/hyperlink" Target="https://www.pj.gov.py/notas/30804-solicitudes-de-materiales-notariales-podran-realizarse-hasta-las-1500-del-domingo-18-de-octubre" TargetMode="External"/><Relationship Id="rId14" Type="http://schemas.openxmlformats.org/officeDocument/2006/relationships/hyperlink" Target="https://www.pj.gov.py/notas/30802-en-marcha-el-sistema-de-cobertura-de-gastos-electronicos-en-juzgados-de-limpio" TargetMode="External"/><Relationship Id="rId15" Type="http://schemas.openxmlformats.org/officeDocument/2006/relationships/hyperlink" Target="https://www.pj.gov.py/descargas/ID1-932_acordada_1718.pdf" TargetMode="External"/><Relationship Id="rId16" Type="http://schemas.openxmlformats.org/officeDocument/2006/relationships/hyperlink" Target="https://www.pj.gov.py/descargas/ID1-676_acordada_1756.pdf" TargetMode="External"/><Relationship Id="rId17" Type="http://schemas.openxmlformats.org/officeDocument/2006/relationships/hyperlink" Target="https://www.pj.gov.py/notas/30769-sala-civil-y-comercial-ya-tramita-digitalmente-los-juicios-de-naturalizacion" TargetMode="External"/><Relationship Id="rId18" Type="http://schemas.openxmlformats.org/officeDocument/2006/relationships/hyperlink" Target="https://www.pj.gov.py/notas/30780-sala-civil-firma-primera-providencia-digital-para-la-gestion-de-solicitudes-de-cartas-de-naturalizacion" TargetMode="External"/><Relationship Id="rId19" Type="http://schemas.openxmlformats.org/officeDocument/2006/relationships/hyperlink" Target="https://www.pj.gov.py/notas/30782-decisiones-de-la-plenaria-de-la-corte-suprema-de-justicia" TargetMode="External"/><Relationship Id="rId20" Type="http://schemas.openxmlformats.org/officeDocument/2006/relationships/hyperlink" Target="https://www.tsje.gov.py/noticias/leer/12053-fenece-plazo-para-impugnacion-de-candidaturas.html" TargetMode="External"/><Relationship Id="rId21" Type="http://schemas.openxmlformats.org/officeDocument/2006/relationships/hyperlink" Target="https://www.tsje.gov.py/elecciones-al-consejo-de-la-magistratura-2026.html" TargetMode="External"/><Relationship Id="rId22" Type="http://schemas.openxmlformats.org/officeDocument/2006/relationships/hyperlink" Target="https://tsje.gov.py/descarga.php?id=2026_resolucion_tsje_196.pdf" TargetMode="External"/><Relationship Id="rId23" Type="http://schemas.openxmlformats.org/officeDocument/2006/relationships/hyperlink" Target="https://www.dnit.gov.py/web/portal-institucional/w/dnit-facilita-la-regularizaci%C3%B3n-de-m%C3%A1s-de-g.-149.000-millones-en-deudas-copiar-" TargetMode="External"/><Relationship Id="rId24" Type="http://schemas.openxmlformats.org/officeDocument/2006/relationships/hyperlink" Target="https://www.senado.gov.py/index.php/menu-dircom/sub-menu-noticias-comisiones/prosigue-estudio-de-proyecto-para-elevar-penas-por-maltrato-animal.html" TargetMode="External"/><Relationship Id="rId25" Type="http://schemas.openxmlformats.org/officeDocument/2006/relationships/hyperlink" Target="https://silpy.congreso.gov.py/web/expediente/153192" TargetMode="External"/><Relationship Id="rId26" Type="http://schemas.openxmlformats.org/officeDocument/2006/relationships/hyperlink" Target="https://silpy.congreso.gov.py/web/expediente/15903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Alia — Periódico Jurídico · Edición 006</dc:title>
  <dc:subject/>
  <dc:creator>Alia</dc:creator>
  <cp:keywords/>
  <dc:description>generated by python-docx</dc:description>
  <cp:lastModifiedBy/>
  <cp:revision>1</cp:revision>
  <dcterms:created xsi:type="dcterms:W3CDTF">2013-12-23T23:15:00Z</dcterms:created>
  <dcterms:modified xsi:type="dcterms:W3CDTF">2013-12-23T23:15:00Z</dcterms:modified>
  <cp:category/>
</cp:coreProperties>
</file>