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Periódico Jurídico</w:t>
      </w:r>
    </w:p>
    <w:p>
      <w:r>
        <w:t>EDICIÓN 007 · EDICIÓN 007 · 26/10/2026 · CORTE 25/10, 23:59</w:t>
      </w:r>
    </w:p>
    <w:p>
      <w:pPr>
        <w:pStyle w:val="Heading1"/>
      </w:pPr>
      <w:r>
        <w:t>Lambaré incorpora pagos electrónicos para diligencias</w:t>
      </w:r>
    </w:p>
    <w:p>
      <w:r>
        <w:t>Lambaré incorpora la cobertura electrónica de gastos; salud ocupacional sigue en revisión. La edición distingue actos institucionales de proyectos procesales, familiares y comerciales. Ocho notas; cinco reservas documentales.</w:t>
      </w:r>
    </w:p>
    <w:p>
      <w:pPr>
        <w:pStyle w:val="Heading2"/>
      </w:pPr>
      <w:r>
        <w:t>Índice</w:t>
      </w:r>
    </w:p>
    <w:p>
      <w:r>
        <w:t>Procesal / Civil · Lambaré incorpora pagos electrónicos para diligencias</w:t>
      </w:r>
    </w:p>
    <w:p>
      <w:r>
        <w:t>Laboral · Exámenes ocupacionales: reglamentación aún en revisión</w:t>
      </w:r>
    </w:p>
    <w:p>
      <w:r>
        <w:t>Laboral / Penal · Accidentes graves: coordinación en etapa de presentación</w:t>
      </w:r>
    </w:p>
    <w:p>
      <w:r>
        <w:t>Constitucional · La Sala publica un listado de 111 resoluciones</w:t>
      </w:r>
    </w:p>
    <w:p>
      <w:r>
        <w:t>Comercial / Ambiental · Regalías agrícolas: comisiones aconsejan rechazo</w:t>
      </w:r>
    </w:p>
    <w:p>
      <w:r>
        <w:t>Civil / Procesal · Notificaciones electrónicas: la CSJ remite pareceres</w:t>
      </w:r>
    </w:p>
    <w:p>
      <w:r>
        <w:t>Familia · REDAM y niñez: parecer técnico enviado a Diputados</w:t>
      </w:r>
    </w:p>
    <w:p>
      <w:r>
        <w:t>Electoral / Constitucional · Abogados al CM: la Corte difunde el reglamento electoral</w:t>
      </w:r>
    </w:p>
    <w:p>
      <w:pPr>
        <w:sectPr>
          <w:headerReference w:type="default" r:id="rId9"/>
          <w:pgSz w:w="12240" w:h="15840"/>
          <w:pgMar w:top="1440" w:right="1800" w:bottom="864" w:left="1800" w:header="720" w:footer="720" w:gutter="0"/>
          <w:cols w:space="720"/>
          <w:docGrid w:linePitch="360"/>
        </w:sectPr>
      </w:pPr>
    </w:p>
    <w:p>
      <w:pPr>
        <w:pStyle w:val="Heading1"/>
      </w:pPr>
      <w:r>
        <w:t>Lambaré incorpora pagos electrónicos para diligencias</w:t>
      </w:r>
    </w:p>
    <w:p>
      <w:r>
        <w:t>Acto institucional · 23/10/2026; implementación 19–23/10</w:t>
      </w:r>
    </w:p>
    <w:p>
      <w:r>
        <w:rPr>
          <w:b/>
          <w:color w:val="876523"/>
        </w:rPr>
        <w:t xml:space="preserve">Qué cambió. </w:t>
      </w:r>
      <w:r>
        <w:t>La CSJ informó la implementación de la cobertura electrónica de gastos en juzgados de Primera Instancia de Lambaré. La solicitud se realiza en secretaría antes de la diligencia y el comprobante se adjunta al expediente electrónico.</w:t>
      </w:r>
    </w:p>
    <w:p>
      <w:r>
        <w:rPr>
          <w:b/>
          <w:color w:val="876523"/>
        </w:rPr>
        <w:t xml:space="preserve">A quién afecta. </w:t>
      </w:r>
      <w:r>
        <w:t>Litigantes y equipos de gestión judicial.</w:t>
      </w:r>
    </w:p>
    <w:p>
      <w:r>
        <w:rPr>
          <w:b/>
          <w:color w:val="876523"/>
        </w:rPr>
        <w:t xml:space="preserve">Acción recomendada. </w:t>
      </w:r>
      <w:r>
        <w:t>Consultar en la secretaría el concepto aplicable y la excepción legal que corresponda; conservar el comprobante.</w:t>
      </w:r>
    </w:p>
    <w:p>
      <w:r>
        <w:rPr>
          <w:b/>
          <w:color w:val="876523"/>
        </w:rPr>
        <w:t xml:space="preserve">Control. </w:t>
      </w:r>
      <w:r>
        <w:t>La novedad es la implementación local comunicada, no una nueva tasa. No se probó una operación. Importes y exenciones requieren cotejo individual.</w:t>
      </w:r>
    </w:p>
    <w:p>
      <w:hyperlink r:id="rId10">
        <w:r>
          <w:t>Fuente oficial</w:t>
        </w:r>
      </w:hyperlink>
    </w:p>
    <w:p>
      <w:r>
        <w:br w:type="column"/>
      </w:r>
    </w:p>
    <w:p>
      <w:pPr>
        <w:pStyle w:val="Heading1"/>
      </w:pPr>
      <w:r>
        <w:t>Exámenes ocupacionales: reglamentación aún en revisión</w:t>
      </w:r>
    </w:p>
    <w:p>
      <w:r>
        <w:t>Acto institucional · 22/10/2026</w:t>
      </w:r>
    </w:p>
    <w:p>
      <w:r>
        <w:rPr>
          <w:b/>
          <w:color w:val="876523"/>
        </w:rPr>
        <w:t xml:space="preserve">Qué cambió. </w:t>
      </w:r>
      <w:r>
        <w:t>MTESS y Salud analizaron una propuesta de actualización de los exámenes ocupacionales, con controles según riesgos y protección de antecedentes médicos. Continúa la revisión técnica y jurídica previa a una eventual aprobación.</w:t>
      </w:r>
    </w:p>
    <w:p>
      <w:r>
        <w:rPr>
          <w:b/>
          <w:color w:val="876523"/>
        </w:rPr>
        <w:t xml:space="preserve">A quién afecta. </w:t>
      </w:r>
      <w:r>
        <w:t>Empresas y responsables de salud y seguridad ocupacional.</w:t>
      </w:r>
    </w:p>
    <w:p>
      <w:r>
        <w:rPr>
          <w:b/>
          <w:color w:val="876523"/>
        </w:rPr>
        <w:t xml:space="preserve">Acción recomendada. </w:t>
      </w:r>
      <w:r>
        <w:t>Seguir el texto oficial que eventualmente se apruebe antes de modificar obligaciones o formularios.</w:t>
      </w:r>
    </w:p>
    <w:p>
      <w:r>
        <w:rPr>
          <w:b/>
          <w:color w:val="876523"/>
        </w:rPr>
        <w:t xml:space="preserve">Control. </w:t>
      </w:r>
      <w:r>
        <w:t>Se informa una propuesta administrativa. No se identificó acto aprobatorio, número, publicación formal ni fecha de vigencia; no es una ley en trámite parlamentario.</w:t>
      </w:r>
    </w:p>
    <w:p>
      <w:hyperlink r:id="rId11">
        <w:r>
          <w:t>Fuente oficial</w:t>
        </w:r>
      </w:hyperlink>
    </w:p>
    <w:p>
      <w:r>
        <w:br w:type="column"/>
      </w:r>
    </w:p>
    <w:p>
      <w:pPr>
        <w:pStyle w:val="Heading1"/>
      </w:pPr>
      <w:r>
        <w:t>Accidentes graves: coordinación en etapa de presentación</w:t>
      </w:r>
    </w:p>
    <w:p>
      <w:r>
        <w:t>Acto institucional · 20/10/2026</w:t>
      </w:r>
    </w:p>
    <w:p>
      <w:r>
        <w:rPr>
          <w:b/>
          <w:color w:val="876523"/>
        </w:rPr>
        <w:t xml:space="preserve">Qué cambió. </w:t>
      </w:r>
      <w:r>
        <w:t>El MTESS presentó al Ministerio del Interior un protocolo para coordinar la investigación de accidentes laborales graves y fatales.</w:t>
      </w:r>
    </w:p>
    <w:p>
      <w:r>
        <w:rPr>
          <w:b/>
          <w:color w:val="876523"/>
        </w:rPr>
        <w:t xml:space="preserve">A quién afecta. </w:t>
      </w:r>
      <w:r>
        <w:t>Empleadores y asesores laborales y penales.</w:t>
      </w:r>
    </w:p>
    <w:p>
      <w:r>
        <w:rPr>
          <w:b/>
          <w:color w:val="876523"/>
        </w:rPr>
        <w:t xml:space="preserve">Acción recomendada. </w:t>
      </w:r>
      <w:r>
        <w:t>Identificar responsables internos de respuesta y preservar los registros pertinentes conforme a las obligaciones aplicables al caso.</w:t>
      </w:r>
    </w:p>
    <w:p>
      <w:r>
        <w:rPr>
          <w:b/>
          <w:color w:val="876523"/>
        </w:rPr>
        <w:t xml:space="preserve">Control. </w:t>
      </w:r>
      <w:r>
        <w:t>La presentación no acredita por sí sola aprobación, entrada en vigor ni puesta en funcionamiento del protocolo. Texto firmado y alcance competencial: pendientes.</w:t>
      </w:r>
    </w:p>
    <w:p>
      <w:hyperlink r:id="rId12">
        <w:r>
          <w:t>Fuente oficial</w:t>
        </w:r>
      </w:hyperlink>
    </w:p>
    <w:p>
      <w:pPr>
        <w:sectPr>
          <w:pgSz w:w="12240" w:h="15840"/>
          <w:pgMar w:top="1440" w:right="1800" w:bottom="864" w:left="1800" w:header="720" w:footer="720" w:gutter="0"/>
          <w:cols w:space="720" w:num="3" w:sep="1"/>
          <w:docGrid w:linePitch="360"/>
        </w:sectPr>
      </w:pPr>
    </w:p>
    <w:p>
      <w:pPr>
        <w:pStyle w:val="Heading1"/>
      </w:pPr>
      <w:r>
        <w:t>La Sala publica un listado de 111 resoluciones</w:t>
      </w:r>
    </w:p>
    <w:p>
      <w:r>
        <w:t>Acto institucional · 23/10/2026</w:t>
      </w:r>
    </w:p>
    <w:p>
      <w:r>
        <w:rPr>
          <w:b/>
          <w:color w:val="876523"/>
        </w:rPr>
        <w:t xml:space="preserve">Qué cambió. </w:t>
      </w:r>
      <w:r>
        <w:t>La Sala Constitucional puso a disposición un listado de 111 resoluciones dictadas entre el 13 y el 23 de octubre.</w:t>
      </w:r>
    </w:p>
    <w:p>
      <w:r>
        <w:rPr>
          <w:b/>
          <w:color w:val="876523"/>
        </w:rPr>
        <w:t xml:space="preserve">A quién afecta. </w:t>
      </w:r>
      <w:r>
        <w:t>Abogados con expedientes ante la Sala.</w:t>
      </w:r>
    </w:p>
    <w:p>
      <w:r>
        <w:rPr>
          <w:b/>
          <w:color w:val="876523"/>
        </w:rPr>
        <w:t xml:space="preserve">Acción recomendada. </w:t>
      </w:r>
      <w:r>
        <w:t>Consultar el listado y obtener la resolución íntegra correspondiente antes de evaluar efectos o recursos.</w:t>
      </w:r>
    </w:p>
    <w:p>
      <w:r>
        <w:rPr>
          <w:b/>
          <w:color w:val="876523"/>
        </w:rPr>
        <w:t xml:space="preserve">Control. </w:t>
      </w:r>
      <w:r>
        <w:t>La novedad es la difusión del 23/10; el listado abarca también días de la semana anterior. No se atribuye doctrina común, notificación ni firmeza a todas las decisiones.</w:t>
      </w:r>
    </w:p>
    <w:p>
      <w:hyperlink r:id="rId13">
        <w:r>
          <w:t>Fuente oficial</w:t>
        </w:r>
      </w:hyperlink>
    </w:p>
    <w:p>
      <w:hyperlink r:id="rId14">
        <w:r>
          <w:t>Fuente oficial</w:t>
        </w:r>
      </w:hyperlink>
    </w:p>
    <w:p>
      <w:r>
        <w:br w:type="column"/>
      </w:r>
    </w:p>
    <w:p>
      <w:pPr>
        <w:pStyle w:val="Heading1"/>
      </w:pPr>
      <w:r>
        <w:t>Regalías agrícolas: comisiones aconsejan rechazo</w:t>
      </w:r>
    </w:p>
    <w:p>
      <w:r>
        <w:t>Proyecto en trámite · 20/10/2026</w:t>
      </w:r>
    </w:p>
    <w:p>
      <w:r>
        <w:rPr>
          <w:b/>
          <w:color w:val="876523"/>
        </w:rPr>
        <w:t xml:space="preserve">Qué cambió. </w:t>
      </w:r>
      <w:r>
        <w:t>Dos comisiones senatoriales recomendaron rechazar la propuesta sobre regalías biotecnológicas agrícolas que modifica la Ley 1630/00.</w:t>
      </w:r>
    </w:p>
    <w:p>
      <w:r>
        <w:rPr>
          <w:b/>
          <w:color w:val="876523"/>
        </w:rPr>
        <w:t xml:space="preserve">A quién afecta. </w:t>
      </w:r>
      <w:r>
        <w:t>Asesores de propiedad intelectual y agronegocios.</w:t>
      </w:r>
    </w:p>
    <w:p>
      <w:r>
        <w:rPr>
          <w:b/>
          <w:color w:val="876523"/>
        </w:rPr>
        <w:t xml:space="preserve">Acción recomendada. </w:t>
      </w:r>
      <w:r>
        <w:t>Verificar expediente y decisión del Pleno antes de ajustar contratos.</w:t>
      </w:r>
    </w:p>
    <w:p>
      <w:r>
        <w:rPr>
          <w:b/>
          <w:color w:val="876523"/>
        </w:rPr>
        <w:t xml:space="preserve">Control. </w:t>
      </w:r>
      <w:r>
        <w:t>Dictamen informado; rechazo definitivo y texto completo pendientes de cotejo. No modifica por sí mismo la ley.</w:t>
      </w:r>
    </w:p>
    <w:p>
      <w:hyperlink r:id="rId15">
        <w:r>
          <w:t>Fuente oficial</w:t>
        </w:r>
      </w:hyperlink>
    </w:p>
    <w:p>
      <w:r>
        <w:br w:type="column"/>
      </w:r>
    </w:p>
    <w:p>
      <w:pPr>
        <w:pStyle w:val="Heading1"/>
      </w:pPr>
      <w:r>
        <w:t>Notificaciones electrónicas: la CSJ remite pareceres</w:t>
      </w:r>
    </w:p>
    <w:p>
      <w:r>
        <w:t>Proyecto en trámite · 21/10/2026</w:t>
      </w:r>
    </w:p>
    <w:p>
      <w:r>
        <w:rPr>
          <w:b/>
          <w:color w:val="876523"/>
        </w:rPr>
        <w:t xml:space="preserve">Qué cambió. </w:t>
      </w:r>
      <w:r>
        <w:t>La plenaria remitió pareceres técnicos a Diputados sobre notificaciones y gestión electrónica de procesos: expediente S-2603875.</w:t>
      </w:r>
    </w:p>
    <w:p>
      <w:r>
        <w:rPr>
          <w:b/>
          <w:color w:val="876523"/>
        </w:rPr>
        <w:t xml:space="preserve">A quién afecta. </w:t>
      </w:r>
      <w:r>
        <w:t>Litigantes civiles.</w:t>
      </w:r>
    </w:p>
    <w:p>
      <w:r>
        <w:rPr>
          <w:b/>
          <w:color w:val="876523"/>
        </w:rPr>
        <w:t xml:space="preserve">Acción recomendada. </w:t>
      </w:r>
      <w:r>
        <w:t>Seguir el expediente antes de alterar prácticas de notificación.</w:t>
      </w:r>
    </w:p>
    <w:p>
      <w:r>
        <w:rPr>
          <w:b/>
          <w:color w:val="876523"/>
        </w:rPr>
        <w:t xml:space="preserve">Control. </w:t>
      </w:r>
      <w:r>
        <w:t>Remisión consultiva: no acredita sanción ni vigencia. Texto y etapa parlamentaria pendientes.</w:t>
      </w:r>
    </w:p>
    <w:p>
      <w:hyperlink r:id="rId16">
        <w:r>
          <w:t>Fuente oficial</w:t>
        </w:r>
      </w:hyperlink>
    </w:p>
    <w:p>
      <w:pPr>
        <w:sectPr>
          <w:pgSz w:w="12240" w:h="15840"/>
          <w:pgMar w:top="1440" w:right="1800" w:bottom="864" w:left="1800" w:header="720" w:footer="720" w:gutter="0"/>
          <w:cols w:space="720" w:num="3" w:sep="1"/>
          <w:docGrid w:linePitch="360"/>
        </w:sectPr>
      </w:pPr>
    </w:p>
    <w:p>
      <w:pPr>
        <w:pStyle w:val="Heading1"/>
      </w:pPr>
      <w:r>
        <w:t>REDAM y niñez: parecer técnico enviado a Diputados</w:t>
      </w:r>
    </w:p>
    <w:p>
      <w:r>
        <w:t>Proyecto en trámite · 21/10/2026</w:t>
      </w:r>
    </w:p>
    <w:p>
      <w:r>
        <w:rPr>
          <w:b/>
          <w:color w:val="876523"/>
        </w:rPr>
        <w:t xml:space="preserve">Qué cambió. </w:t>
      </w:r>
      <w:r>
        <w:t>La CSJ remitió un parecer sobre modificaciones al Código de la Niñez y al REDAM, expediente S-2603295.</w:t>
      </w:r>
    </w:p>
    <w:p>
      <w:r>
        <w:rPr>
          <w:b/>
          <w:color w:val="876523"/>
        </w:rPr>
        <w:t xml:space="preserve">A quién afecta. </w:t>
      </w:r>
      <w:r>
        <w:t>Profesionales de familia.</w:t>
      </w:r>
    </w:p>
    <w:p>
      <w:r>
        <w:rPr>
          <w:b/>
          <w:color w:val="876523"/>
        </w:rPr>
        <w:t xml:space="preserve">Acción recomendada. </w:t>
      </w:r>
      <w:r>
        <w:t>Cotejar texto y trámite legislativo antes de cambiar una gestión.</w:t>
      </w:r>
    </w:p>
    <w:p>
      <w:r>
        <w:rPr>
          <w:b/>
          <w:color w:val="876523"/>
        </w:rPr>
        <w:t xml:space="preserve">Control. </w:t>
      </w:r>
      <w:r>
        <w:t>Parecer consultivo; no reforma vigente. Texto íntegro, votaciones y publicación pendientes.</w:t>
      </w:r>
    </w:p>
    <w:p>
      <w:hyperlink r:id="rId16">
        <w:r>
          <w:t>Fuente oficial</w:t>
        </w:r>
      </w:hyperlink>
    </w:p>
    <w:p>
      <w:r>
        <w:br w:type="column"/>
      </w:r>
    </w:p>
    <w:p>
      <w:pPr>
        <w:pStyle w:val="Heading1"/>
      </w:pPr>
      <w:r>
        <w:t>Abogados al CM: la Corte difunde el reglamento electoral</w:t>
      </w:r>
    </w:p>
    <w:p>
      <w:r>
        <w:t>Acto institucional · Difusión 23/10/2026; resolución 9/10/2026</w:t>
      </w:r>
    </w:p>
    <w:p>
      <w:r>
        <w:rPr>
          <w:b/>
          <w:color w:val="876523"/>
        </w:rPr>
        <w:t xml:space="preserve">Qué cambió. </w:t>
      </w:r>
      <w:r>
        <w:t>La CSJ difundió la Resolución TSJE 220/2026, relativa a los procedimientos de elección de abogados para el Consejo de la Magistratura 2026–2029.</w:t>
      </w:r>
    </w:p>
    <w:p>
      <w:r>
        <w:rPr>
          <w:b/>
          <w:color w:val="876523"/>
        </w:rPr>
        <w:t xml:space="preserve">A quién afecta. </w:t>
      </w:r>
      <w:r>
        <w:t>Abogados electores, candidaturas y apoderados.</w:t>
      </w:r>
    </w:p>
    <w:p>
      <w:r>
        <w:rPr>
          <w:b/>
          <w:color w:val="876523"/>
        </w:rPr>
        <w:t xml:space="preserve">Acción recomendada. </w:t>
      </w:r>
      <w:r>
        <w:t>Consultar el reglamento completo y el local habilitado antes de preparar la participación.</w:t>
      </w:r>
    </w:p>
    <w:p>
      <w:r>
        <w:rPr>
          <w:b/>
          <w:color w:val="876523"/>
        </w:rPr>
        <w:t xml:space="preserve">Control. </w:t>
      </w:r>
      <w:r>
        <w:t>El aviso informa elección el 28/11, 07:00–17:00. El PDF enlazado no se recuperó: alcance de artículos y vigencia pendientes. Se informa la difusión semanal de un acto anterior.</w:t>
      </w:r>
    </w:p>
    <w:p>
      <w:hyperlink r:id="rId17">
        <w:r>
          <w:t>Fuente oficial</w:t>
        </w:r>
      </w:hyperlink>
    </w:p>
    <w:p>
      <w:pPr>
        <w:sectPr>
          <w:pgSz w:w="12240" w:h="15840"/>
          <w:pgMar w:top="1440" w:right="1800" w:bottom="864" w:left="1800" w:header="720" w:footer="720" w:gutter="0"/>
          <w:cols w:space="720" w:num="3" w:sep="1"/>
          <w:docGrid w:linePitch="360"/>
        </w:sectPr>
      </w:pPr>
    </w:p>
    <w:p>
      <w:pPr>
        <w:pStyle w:val="Heading1"/>
      </w:pPr>
      <w:r>
        <w:t>Agenda y Criterio Alia</w:t>
      </w:r>
    </w:p>
    <w:p>
      <w:r>
        <w:t>26–30/10 · No se confirmó en las fuentes seleccionadas un vencimiento general nuevo para esta semana. Revisar calendario tributario, notificaciones y decisiones del despacho: no se presume ausencia de obligaciones.</w:t>
      </w:r>
    </w:p>
    <w:p>
      <w:hyperlink r:id="rId18">
        <w:r>
          <w:t>Fuente oficial</w:t>
        </w:r>
      </w:hyperlink>
    </w:p>
    <w:p>
      <w:r>
        <w:t>28/11 · 07:00–17:00 · Hito futuro informado por CSJ para elección de abogados al CM; fuera de la semana de prioridades. Reglamento íntegro pendiente de cotejo.</w:t>
      </w:r>
    </w:p>
    <w:p>
      <w:hyperlink r:id="rId17">
        <w:r>
          <w:t>Fuente oficial</w:t>
        </w:r>
      </w:hyperlink>
    </w:p>
    <w:p>
      <w:r>
        <w:t>Análisis editorial · El funcionamiento comunicado debe distinguirse del texto normativo. Una implementación local no crea una tasa nacional; una propuesta administrativa no obliga antes de su aprobación; un parecer o dictamen no equivale a ley. El profesional debe identificar el acto aplicable y su efecto en el expediente concreto.</w:t>
      </w:r>
    </w:p>
    <w:p>
      <w:pPr>
        <w:pStyle w:val="Heading1"/>
      </w:pPr>
      <w:r>
        <w:t>Portada, archivo y compatibilidad</w:t>
      </w:r>
    </w:p>
    <w:p>
      <w:r>
        <w:t>Edición 007 publicada en WordPress y visible en el lector web de Hercules. Módulo de portada e índice por materias actualizados sin borrar noticias anteriores ni modificar navegación y membresías. Facebook, Instagram y X publicados con las reservas documentales expresas.</w:t>
      </w:r>
    </w:p>
    <w:p>
      <w:r>
        <w:t>Portada actualizada a la edición 007. Las noticias de la 006 conservan sus enlaces y quedan accesibles como archivo. Tributario y Análisis mantienen el contenido anterior con su fecha original. La edición aparece en Hercules y conserva las siete anteriores.</w:t>
      </w:r>
    </w:p>
    <w:p>
      <w:r>
        <w:t>Constitucional: La Sala publica un listado de 111 resoluciones</w:t>
      </w:r>
    </w:p>
    <w:p>
      <w:r>
        <w:t>Penal: Accidentes graves: coordinación en etapa de presentación</w:t>
      </w:r>
    </w:p>
    <w:p>
      <w:r>
        <w:t>Civil: Notificaciones electrónicas: la CSJ remite pareceres</w:t>
      </w:r>
    </w:p>
    <w:p>
      <w:r>
        <w:t>Comercial: Regalías agrícolas: comisiones aconsejan rechazo</w:t>
      </w:r>
    </w:p>
    <w:p>
      <w:r>
        <w:t>Laboral: Exámenes ocupacionales: reglamentación aún en revisión</w:t>
      </w:r>
    </w:p>
    <w:p>
      <w:r>
        <w:t>Familia: REDAM y niñez: parecer técnico enviado a Diputados</w:t>
      </w:r>
    </w:p>
    <w:p>
      <w:r>
        <w:t>Tributario: Conservar noticia anterior.</w:t>
      </w:r>
    </w:p>
    <w:p>
      <w:r>
        <w:t>Ambiental: Regalías agrícolas: comisiones aconsejan rechazo</w:t>
      </w:r>
    </w:p>
    <w:p>
      <w:r>
        <w:t>Procesal: Lambaré incorpora pagos electrónicos para diligencias</w:t>
      </w:r>
    </w:p>
    <w:p>
      <w:r>
        <w:t>Análisis: Conservar noticia anterior.</w:t>
      </w:r>
    </w:p>
    <w:p>
      <w:pPr>
        <w:sectPr>
          <w:pgSz w:w="12240" w:h="15840"/>
          <w:pgMar w:top="1440" w:right="1800" w:bottom="864" w:left="1800" w:header="720" w:footer="720" w:gutter="0"/>
          <w:cols w:space="720" w:num="1" w:sep="0"/>
          <w:docGrid w:linePitch="360"/>
        </w:sectPr>
      </w:pPr>
    </w:p>
    <w:p>
      <w:pPr>
        <w:pStyle w:val="Heading1"/>
      </w:pPr>
      <w:r>
        <w:t>Redes y prioridades</w:t>
      </w:r>
    </w:p>
    <w:p>
      <w:pPr>
        <w:pStyle w:val="Heading2"/>
      </w:pPr>
      <w:r>
        <w:t>LinkedIn</w:t>
      </w:r>
    </w:p>
    <w:p>
      <w:r>
        <w:t>Alia — Periódico Jurídico 007 | Semana 19–25/10/2026. Lambaré, salud ocupacional y radar procesal y familiar. Exámenes médicos: propuesta en revisión. Proyectos legislativos: sin vigencia acreditada. Edición y fuentes: https://alia.com.py/biblioteca-juridica/alia-legal/</w:t>
      </w:r>
    </w:p>
    <w:p>
      <w:pPr>
        <w:pStyle w:val="Heading2"/>
      </w:pPr>
      <w:r>
        <w:t>Instagram</w:t>
      </w:r>
    </w:p>
    <w:p>
      <w:r>
        <w:t>Alia — Periódico Jurídico 007 | Semana 19–25/10/2026. Lambaré, salud ocupacional y radar procesal y familiar. Exámenes médicos: propuesta en revisión. Proyectos legislativos: sin vigencia acreditada. Edición y fuentes: https://alia.com.py/biblioteca-juridica/alia-legal/</w:t>
      </w:r>
    </w:p>
    <w:p>
      <w:pPr>
        <w:pStyle w:val="Heading2"/>
      </w:pPr>
      <w:r>
        <w:t>Facebook</w:t>
      </w:r>
    </w:p>
    <w:p>
      <w:r>
        <w:t>Alia — Periódico Jurídico 007 | Semana 19–25/10/2026. Lambaré, salud ocupacional y radar procesal y familiar. Exámenes médicos: propuesta en revisión. Proyectos legislativos: sin vigencia acreditada. Edición y fuentes: https://alia.com.py/biblioteca-juridica/alia-legal/</w:t>
      </w:r>
    </w:p>
    <w:p>
      <w:pPr>
        <w:pStyle w:val="Heading2"/>
      </w:pPr>
      <w:r>
        <w:t>X</w:t>
      </w:r>
    </w:p>
    <w:p>
      <w:r>
        <w:t>Alia — Periódico Jurídico 007: Lambaré, salud ocupacional y radar legislativo. Los proyectos no son normas vigentes. Corte: 25/10/2026. https://alia.com.py/biblioteca-juridica/alia-legal/</w:t>
      </w:r>
    </w:p>
    <w:p>
      <w:r>
        <w:t>Revisar y aprobar conjuntamente la 007; resolver primero las cinco reservas de la matriz. La aprobación de la 006 no se extiende a esta edición.</w:t>
      </w:r>
    </w:p>
    <w:p>
      <w:r>
        <w:t>Conservar la 006 y sus noticias; el plan de la 007 agrega entradas y enlaces sin sobrescribir el archivo.</w:t>
      </w:r>
    </w:p>
    <w:p>
      <w:r>
        <w:t>Después de aprobar, comprobar enlaces, contraste y archivo en WordPress, Hercules y un iPhone real. El login Apple se informó funcionando en la conversación posterior; no se repitió esa prueba aquí.</w:t>
      </w:r>
    </w:p>
    <w:p>
      <w:r>
        <w:t>Mantener el acceso seguro a X; la 006 fue publicada en @aliaparaguay. Publicar la 007 solo tras aprobación específica.</w:t>
      </w:r>
    </w:p>
    <w:p>
      <w:r>
        <w:t>Completar el cotejo de textos de proyectos, protocolo de accidentes y reglamento TSJE; no sustituirlos por notas de prensa.</w:t>
      </w:r>
    </w:p>
    <w:p>
      <w:pPr>
        <w:sectPr>
          <w:pgSz w:w="12240" w:h="15840"/>
          <w:pgMar w:top="1440" w:right="1800" w:bottom="864" w:left="1800" w:header="720" w:footer="720" w:gutter="0"/>
          <w:cols w:space="720" w:num="1" w:sep="0"/>
          <w:docGrid w:linePitch="360"/>
        </w:sectPr>
      </w:pPr>
    </w:p>
    <w:p>
      <w:pPr>
        <w:pStyle w:val="Heading1"/>
      </w:pPr>
      <w:r>
        <w:t>Matriz de control</w:t>
      </w:r>
    </w:p>
    <w:p>
      <w:r>
        <w:t>Segunda pasada separada de la redacción: cotejo de fechas, emisor, acto y alcance con comunicaciones oficiales y adjuntos recuperados el 26/10. No se verificaron transacciones, notificaciones particulares ni todos los textos firmados. Los actos anteriores se identifican como antecedentes. Las reservas se conservan sin inferencias de vigencia.</w:t>
      </w:r>
    </w:p>
    <w:p>
      <w:pPr>
        <w:pStyle w:val="Heading2"/>
      </w:pPr>
      <w:r>
        <w:t>Lambaré incorpora pagos electrónicos para diligencias</w:t>
      </w:r>
    </w:p>
    <w:p>
      <w:r>
        <w:t>Acto institucional · 23/10/2026; implementación 19–23/10 · CSJ; aviso cita Acordada 1718/23 como antecedente; no se atribuye reforma normativa.</w:t>
      </w:r>
    </w:p>
    <w:p>
      <w:r>
        <w:t>La novedad es la implementación local comunicada, no una nueva tasa. No se probó una operación. Importes y exenciones requieren cotejo individual. · APTO PARA REVISIÓN</w:t>
      </w:r>
    </w:p>
    <w:p>
      <w:hyperlink r:id="rId10">
        <w:r>
          <w:t>Fuente oficial</w:t>
        </w:r>
      </w:hyperlink>
    </w:p>
    <w:p>
      <w:pPr>
        <w:pStyle w:val="Heading2"/>
      </w:pPr>
      <w:r>
        <w:t>Exámenes ocupacionales: reglamentación aún en revisión</w:t>
      </w:r>
    </w:p>
    <w:p>
      <w:r>
        <w:t>Acto institucional · 22/10/2026 · MTESS y MSPBS; reunión y propuesta de reglamentación, sin acto aprobatorio verificado.</w:t>
      </w:r>
    </w:p>
    <w:p>
      <w:r>
        <w:t>Se informa una propuesta administrativa. No se identificó acto aprobatorio, número, publicación formal ni fecha de vigencia; no es una ley en trámite parlamentario. · APTO PARA REVISIÓN</w:t>
      </w:r>
    </w:p>
    <w:p>
      <w:hyperlink r:id="rId11">
        <w:r>
          <w:t>Fuente oficial</w:t>
        </w:r>
      </w:hyperlink>
    </w:p>
    <w:p>
      <w:pPr>
        <w:pStyle w:val="Heading2"/>
      </w:pPr>
      <w:r>
        <w:t>Accidentes graves: coordinación en etapa de presentación</w:t>
      </w:r>
    </w:p>
    <w:p>
      <w:r>
        <w:t>Acto institucional · 20/10/2026 · MTESS; Protocolo Interinstitucional de Actuación para la Investigación de Accidentes de Trabajo Graves y Fatales.</w:t>
      </w:r>
    </w:p>
    <w:p>
      <w:r>
        <w:t>La presentación no acredita por sí sola aprobación, entrada en vigor ni puesta en funcionamiento del protocolo. Texto firmado y alcance competencial: pendientes. · REQUIERE VERIFICACIÓN</w:t>
      </w:r>
    </w:p>
    <w:p>
      <w:hyperlink r:id="rId12">
        <w:r>
          <w:t>Fuente oficial</w:t>
        </w:r>
      </w:hyperlink>
    </w:p>
    <w:p>
      <w:pPr>
        <w:pStyle w:val="Heading2"/>
      </w:pPr>
      <w:r>
        <w:t>La Sala publica un listado de 111 resoluciones</w:t>
      </w:r>
    </w:p>
    <w:p>
      <w:r>
        <w:t>Acto institucional · 23/10/2026 · Sala Constitucional; listado oficial adjunto, no texto íntegro de cada fallo.</w:t>
      </w:r>
    </w:p>
    <w:p>
      <w:r>
        <w:t>La novedad es la difusión del 23/10; el listado abarca también días de la semana anterior. No se atribuye doctrina común, notificación ni firmeza a todas las decisiones. · APTO PARA REVISIÓN</w:t>
      </w:r>
    </w:p>
    <w:p>
      <w:hyperlink r:id="rId13">
        <w:r>
          <w:t>Fuente oficial</w:t>
        </w:r>
      </w:hyperlink>
    </w:p>
    <w:p>
      <w:pPr>
        <w:pStyle w:val="Heading2"/>
      </w:pPr>
      <w:r>
        <w:t>Regalías agrícolas: comisiones aconsejan rechazo</w:t>
      </w:r>
    </w:p>
    <w:p>
      <w:r>
        <w:t>Proyecto en trámite · 20/10/2026 · Comisiones de Industria y Comercio y de Ciencias, Tecnología, Innovación y Futuro; expediente no confirmado.</w:t>
      </w:r>
    </w:p>
    <w:p>
      <w:r>
        <w:t>Dictamen informado; rechazo definitivo y texto completo pendientes de cotejo. No modifica por sí mismo la ley. · REQUIERE VERIFICACIÓN</w:t>
      </w:r>
    </w:p>
    <w:p>
      <w:hyperlink r:id="rId15">
        <w:r>
          <w:t>Fuente oficial</w:t>
        </w:r>
      </w:hyperlink>
    </w:p>
    <w:p>
      <w:pPr>
        <w:pStyle w:val="Heading2"/>
      </w:pPr>
      <w:r>
        <w:t>Notificaciones electrónicas: la CSJ remite pareceres</w:t>
      </w:r>
    </w:p>
    <w:p>
      <w:r>
        <w:t>Proyecto en trámite · 21/10/2026 · CSJ, punto 8; propuesta sobre arts. 131, 133, 139 y 144 del CPC y artículos nuevos.</w:t>
      </w:r>
    </w:p>
    <w:p>
      <w:r>
        <w:t>Remisión consultiva: no acredita sanción ni vigencia. Texto y etapa parlamentaria pendientes. · REQUIERE VERIFICACIÓN</w:t>
      </w:r>
    </w:p>
    <w:p>
      <w:hyperlink r:id="rId16">
        <w:r>
          <w:t>Fuente oficial</w:t>
        </w:r>
      </w:hyperlink>
    </w:p>
    <w:p>
      <w:pPr>
        <w:pStyle w:val="Heading2"/>
      </w:pPr>
      <w:r>
        <w:t>REDAM y niñez: parecer técnico enviado a Diputados</w:t>
      </w:r>
    </w:p>
    <w:p>
      <w:r>
        <w:t>Proyecto en trámite · 21/10/2026 · CSJ, punto 10; art. 100 Ley 1680/2001 y art. 4 Ley 5415/2015, modificada por Ley 6506/2020.</w:t>
      </w:r>
    </w:p>
    <w:p>
      <w:r>
        <w:t>Parecer consultivo; no reforma vigente. Texto íntegro, votaciones y publicación pendientes. · REQUIERE VERIFICACIÓN</w:t>
      </w:r>
    </w:p>
    <w:p>
      <w:hyperlink r:id="rId16">
        <w:r>
          <w:t>Fuente oficial</w:t>
        </w:r>
      </w:hyperlink>
    </w:p>
    <w:p>
      <w:pPr>
        <w:pStyle w:val="Heading2"/>
      </w:pPr>
      <w:r>
        <w:t>Abogados al CM: la Corte difunde el reglamento electoral</w:t>
      </w:r>
    </w:p>
    <w:p>
      <w:r>
        <w:t>Acto institucional · Difusión 23/10/2026; resolución 9/10/2026 · TSJE emite; CSJ difunde. Res. 220/2026 de 9/10: procedimientos de elección de abogados al CM.</w:t>
      </w:r>
    </w:p>
    <w:p>
      <w:r>
        <w:t>El aviso informa elección el 28/11, 07:00–17:00. El PDF enlazado no se recuperó: alcance de artículos y vigencia pendientes. Se informa la difusión semanal de un acto anterior. · REQUIERE VERIFICACIÓN</w:t>
      </w:r>
    </w:p>
    <w:p>
      <w:hyperlink r:id="rId17">
        <w:r>
          <w:t>Fuente oficial</w:t>
        </w:r>
      </w:hyperlink>
    </w:p>
    <w:sectPr w:rsidR="00FC693F" w:rsidRPr="0006063C" w:rsidSect="00034616">
      <w:pgSz w:w="12240" w:h="15840"/>
      <w:pgMar w:top="1440" w:right="1800" w:bottom="864" w:left="1800" w:header="720" w:footer="720" w:gutter="0"/>
      <w:cols w:space="720" w:num="1" w:sep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1143000" cy="46159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lia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46159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Georgia" w:hAnsi="Georgia"/>
      <w:color w:val="12314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2314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231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231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www.pj.gov.py/notas/30842-esta-vigente-el-sistema-de-cobertura-de-gastos-electronicos-en-juzgados-de-lambare" TargetMode="External"/><Relationship Id="rId11" Type="http://schemas.openxmlformats.org/officeDocument/2006/relationships/hyperlink" Target="https://www.mtess.gov.py/?p=37474" TargetMode="External"/><Relationship Id="rId12" Type="http://schemas.openxmlformats.org/officeDocument/2006/relationships/hyperlink" Target="https://www.mtess.gov.py/?p=37441" TargetMode="External"/><Relationship Id="rId13" Type="http://schemas.openxmlformats.org/officeDocument/2006/relationships/hyperlink" Target="https://www.pj.gov.py/notas/30850-decisiones-de-la-sala-constitucional-de-la-corte-suprema-de-justicia" TargetMode="External"/><Relationship Id="rId14" Type="http://schemas.openxmlformats.org/officeDocument/2006/relationships/hyperlink" Target="https://www.pj.gov.py/descargas/ID1-997_resoluciones_del_13_al_23_de_octubre_sala_constitucional.pdf" TargetMode="External"/><Relationship Id="rId15" Type="http://schemas.openxmlformats.org/officeDocument/2006/relationships/hyperlink" Target="https://www.senado.gov.py/index.php/menu-dircom/sub-menu-noticias-comisiones/aconsejan-rechazar-proyecto-sobre-regalias-biotecnologicas-agricolas.html" TargetMode="External"/><Relationship Id="rId16" Type="http://schemas.openxmlformats.org/officeDocument/2006/relationships/hyperlink" Target="https://www.pj.gov.py/notas/30824-decisiones-de-la-plenaria-de-la-corte-suprema-de-justicia" TargetMode="External"/><Relationship Id="rId17" Type="http://schemas.openxmlformats.org/officeDocument/2006/relationships/hyperlink" Target="https://www.pj.gov.py/notas/30839-corte-suprema-socializa-procedimientos-para-la-eleccion-de-abogados-que-integraran-el-consejo-de-la-magistratura" TargetMode="External"/><Relationship Id="rId18" Type="http://schemas.openxmlformats.org/officeDocument/2006/relationships/hyperlink" Target="https://www.dnit.gov.py/web/portal-instituciona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